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2618-10k_oramed.htm"/>
      <w:bookmarkStart w:id="1" w:name="ksea028261810k_orame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r>
        <w:rPr>
          <w:rFonts w:ascii="Times New Roman;Times;Serif" w:hAnsi="Times New Roman;Times;Serif"/>
          <w:b/>
          <w:i w:val="false"/>
          <w:caps w:val="false"/>
          <w:smallCaps w:val="false"/>
          <w:sz w:val="20"/>
          <w:u w:val="single"/>
        </w:rPr>
        <w:t>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001-35813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55" w:type="dxa"/>
        <w:jc w:val="left"/>
        <w:tblInd w:w="0" w:type="dxa"/>
        <w:tblLayout w:type="fixed"/>
        <w:tblCellMar>
          <w:top w:w="0" w:type="dxa"/>
          <w:left w:w="0" w:type="dxa"/>
          <w:bottom w:w="28" w:type="dxa"/>
          <w:right w:w="0" w:type="dxa"/>
        </w:tblCellMar>
      </w:tblPr>
      <w:tblGrid>
        <w:gridCol w:w="4970"/>
        <w:gridCol w:w="90"/>
        <w:gridCol w:w="1595"/>
      </w:tblGrid>
      <w:tr>
        <w:trPr/>
        <w:tc>
          <w:tcPr>
            <w:tcW w:w="4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98-0376008</w:t>
            </w:r>
          </w:p>
        </w:tc>
      </w:tr>
      <w:tr>
        <w:trPr/>
        <w:tc>
          <w:tcPr>
            <w:tcW w:w="49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497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pPr>
            <w:r>
              <w:rPr/>
              <w:t> </w:t>
            </w:r>
          </w:p>
        </w:tc>
      </w:tr>
      <w:tr>
        <w:trPr/>
        <w:tc>
          <w:tcPr>
            <w:tcW w:w="4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1185 Avenue of the Americas, Third Floor, New York, NY </w:t>
            </w:r>
          </w:p>
        </w:tc>
        <w:tc>
          <w:tcPr>
            <w:tcW w:w="90" w:type="dxa"/>
            <w:tcBorders/>
            <w:tcMar>
              <w:bottom w:w="0" w:type="dxa"/>
            </w:tcMar>
            <w:vAlign w:val="center"/>
          </w:tcPr>
          <w:p>
            <w:pPr>
              <w:pStyle w:val="TableContents"/>
              <w:bidi w:val="0"/>
              <w:spacing w:before="0" w:after="283"/>
              <w:jc w:val="center"/>
              <w:rPr/>
            </w:pPr>
            <w:r>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10036</w:t>
            </w:r>
          </w:p>
        </w:tc>
      </w:tr>
      <w:tr>
        <w:trPr/>
        <w:tc>
          <w:tcPr>
            <w:tcW w:w="49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844-967-2633</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2780"/>
        <w:gridCol w:w="90"/>
        <w:gridCol w:w="1415"/>
        <w:gridCol w:w="90"/>
        <w:gridCol w:w="4145"/>
      </w:tblGrid>
      <w:tr>
        <w:trPr/>
        <w:tc>
          <w:tcPr>
            <w:tcW w:w="27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41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$0.012</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ORMP</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41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Capital Market, Tel Aviv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305" w:type="dxa"/>
            <w:tcBorders/>
            <w:vAlign w:val="center"/>
          </w:tcPr>
          <w:p>
            <w:pPr>
              <w:pStyle w:val="TableContents"/>
              <w:bidi w:val="0"/>
              <w:spacing w:before="0" w:after="283"/>
              <w:jc w:val="left"/>
              <w:rPr/>
            </w:pPr>
            <w:r>
              <w:rPr/>
              <w:t>☒</w:t>
            </w:r>
          </w:p>
        </w:tc>
      </w:tr>
      <w:tr>
        <w:trPr/>
        <w:tc>
          <w:tcPr>
            <w:tcW w:w="2125" w:type="dxa"/>
            <w:gridSpan w:val="2"/>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market value of the voting and non-voting common equity held by non-affiliates as of the last business day of the registrant’s most recently completed second fiscal quarter was $77,659,391 based on a price of $2.25, being the last price at which the shares of the registrant’s common stock were sold on the Nasdaq Capital Market prior to the end of the most recently completed second fiscal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2026, the registrant had 40,446,179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
        <w:gridCol w:w="9622"/>
        <w:gridCol w:w="90"/>
        <w:gridCol w:w="400"/>
      </w:tblGrid>
      <w:tr>
        <w:trPr/>
        <w:tc>
          <w:tcPr>
            <w:tcW w:w="9715" w:type="dxa"/>
            <w:gridSpan w:val="2"/>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sz w:val="20"/>
                </w:rPr>
                <w:t>Introduction and Use of Certain Terms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9715" w:type="dxa"/>
            <w:gridSpan w:val="2"/>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Cautionary Statement Regarding Forward-Looking Statements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ii</w:t>
            </w:r>
          </w:p>
        </w:tc>
      </w:tr>
      <w:tr>
        <w:trPr/>
        <w:tc>
          <w:tcPr>
            <w:tcW w:w="9715" w:type="dxa"/>
            <w:gridSpan w:val="2"/>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 </w:t>
            </w:r>
          </w:p>
        </w:tc>
      </w:tr>
      <w:tr>
        <w:trPr/>
        <w:tc>
          <w:tcPr>
            <w:tcW w:w="9715" w:type="dxa"/>
            <w:gridSpan w:val="2"/>
            <w:tcBorders/>
            <w:vAlign w:val="center"/>
          </w:tcPr>
          <w:p>
            <w:pPr>
              <w:pStyle w:val="TableContents"/>
              <w:bidi w:val="0"/>
              <w:spacing w:before="0" w:after="283"/>
              <w:jc w:val="left"/>
              <w:rPr/>
            </w:pPr>
            <w:hyperlink w:anchor="a_003">
              <w:r>
                <w:rPr>
                  <w:rStyle w:val="InternetLink"/>
                  <w:rFonts w:ascii="Times New Roman;Times;Serif" w:hAnsi="Times New Roman;Times;Serif"/>
                  <w:sz w:val="20"/>
                </w:rPr>
                <w:t>PART I</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 </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ITEM 1. BUSINESS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ITEM 1A. RISK FACTORS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15</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ITEM 1B. UNRESOLVED STAFF COMMENTS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ITEM 1C. CYBERSECURITY</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ITEM 2. PROPERTIES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ITEM 3. LEGAL PROCEEDINGS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ITEM 4. MINE SAFETY DISCLOSURES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35</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 </w:t>
            </w:r>
          </w:p>
        </w:tc>
      </w:tr>
      <w:tr>
        <w:trPr/>
        <w:tc>
          <w:tcPr>
            <w:tcW w:w="9715" w:type="dxa"/>
            <w:gridSpan w:val="2"/>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PART II</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 </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12">
              <w:r>
                <w:rPr>
                  <w:rStyle w:val="InternetLink"/>
                  <w:rFonts w:ascii="Times New Roman;Times;Serif" w:hAnsi="Times New Roman;Times;Serif"/>
                  <w:sz w:val="20"/>
                </w:rPr>
                <w:t>ITEM 5. MARKET FOR REGISTRANT’S COMMON EQUITY, RELATED STOCKHOLDER MATTERS AND ISSUER PURCHASES OF EQUITY SECURITIES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36</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ITEM 6. [RESERVED]</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38</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14">
              <w:r>
                <w:rPr>
                  <w:rStyle w:val="InternetLink"/>
                  <w:rFonts w:ascii="Times New Roman;Times;Serif" w:hAnsi="Times New Roman;Times;Serif"/>
                  <w:sz w:val="20"/>
                </w:rPr>
                <w:t>ITEM 7. MANAGEMENT’S DISCUSSION AND ANALYSIS OF FINANCIAL CONDITION AND RESULTS OF OPERATIONS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38</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ITEM 7A. QUANTITATIVE AND QUALITATIVE DISCLOSURES ABOUT MARKET RISK</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48</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16">
              <w:r>
                <w:rPr>
                  <w:rStyle w:val="InternetLink"/>
                  <w:rFonts w:ascii="Times New Roman;Times;Serif" w:hAnsi="Times New Roman;Times;Serif"/>
                  <w:sz w:val="20"/>
                </w:rPr>
                <w:t>ITEM 8. FINANCIAL STATEMENTS AND SUPPLEMENTARY DATA</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48</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ITEM 9. CHANGES IN AND DISAGREEMENTS WITH ACCOUNTANTS ON ACCOUNTING AND FINANCIAL DISCLOSURE</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48</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18">
              <w:r>
                <w:rPr>
                  <w:rStyle w:val="InternetLink"/>
                  <w:rFonts w:ascii="Times New Roman;Times;Serif" w:hAnsi="Times New Roman;Times;Serif"/>
                  <w:sz w:val="20"/>
                </w:rPr>
                <w:t>ITEM 9A. CONTROLS AND PROCEDURES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48</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ITEM 9B. OTHER INFORMATION</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49</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20">
              <w:r>
                <w:rPr>
                  <w:rStyle w:val="InternetLink"/>
                  <w:rFonts w:ascii="Times New Roman;Times;Serif" w:hAnsi="Times New Roman;Times;Serif"/>
                  <w:sz w:val="20"/>
                </w:rPr>
                <w:t>ITEM 9C. DISCLOSURE REGARDING FOREIGN JURISDICTIONS THAT PREVENT INSPECTIONS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49</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 </w:t>
            </w:r>
          </w:p>
        </w:tc>
      </w:tr>
      <w:tr>
        <w:trPr/>
        <w:tc>
          <w:tcPr>
            <w:tcW w:w="9715" w:type="dxa"/>
            <w:gridSpan w:val="2"/>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PART III</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 </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ITEM 10. DIRECTORS, EXECUTIVE OFFICERS AND CORPORATE GOVERNANCE</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50</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ITEM 11. EXECUTIVE COMPENSATION</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59</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ITEM 12. SECURITY OWNERSHIP OF CERTAIN BENEFICIAL OWNERS AND MANAGEMENT AND RELATED STOCKHOLDER MATTERS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71</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25">
              <w:r>
                <w:rPr>
                  <w:rStyle w:val="InternetLink"/>
                  <w:rFonts w:ascii="Times New Roman;Times;Serif" w:hAnsi="Times New Roman;Times;Serif"/>
                  <w:sz w:val="20"/>
                </w:rPr>
                <w:t>ITEM 13. CERTAIN RELATIONSHIPS AND RELATED TRANSACTIONS, AND DIRECTOR INDEPENDENCE</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73</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ITEM 14. PRINCIPAL ACCOUNTANT FEES AND SERVICES</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73</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 </w:t>
            </w:r>
          </w:p>
        </w:tc>
      </w:tr>
      <w:tr>
        <w:trPr/>
        <w:tc>
          <w:tcPr>
            <w:tcW w:w="9715" w:type="dxa"/>
            <w:gridSpan w:val="2"/>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PART IV</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ind w:left="0" w:right="0" w:hanging="180"/>
              <w:jc w:val="center"/>
              <w:rPr/>
            </w:pPr>
            <w:r>
              <w:rPr/>
              <w:t> </w:t>
            </w:r>
          </w:p>
        </w:tc>
      </w:tr>
      <w:tr>
        <w:trPr/>
        <w:tc>
          <w:tcPr>
            <w:tcW w:w="93" w:type="dxa"/>
            <w:tcBorders/>
            <w:vAlign w:val="center"/>
          </w:tcPr>
          <w:p>
            <w:pPr>
              <w:pStyle w:val="TableContents"/>
              <w:bidi w:val="0"/>
              <w:spacing w:before="0" w:after="283"/>
              <w:ind w:left="0" w:right="0" w:hanging="180"/>
              <w:jc w:val="left"/>
              <w:rPr/>
            </w:pPr>
            <w:r>
              <w:rPr/>
              <w:t> </w:t>
            </w:r>
          </w:p>
        </w:tc>
        <w:tc>
          <w:tcPr>
            <w:tcW w:w="9622" w:type="dxa"/>
            <w:tcBorders/>
            <w:vAlign w:val="center"/>
          </w:tcPr>
          <w:p>
            <w:pPr>
              <w:pStyle w:val="TableContents"/>
              <w:bidi w:val="0"/>
              <w:spacing w:before="0" w:after="283"/>
              <w:jc w:val="left"/>
              <w:rPr/>
            </w:pPr>
            <w:hyperlink w:anchor="a_028">
              <w:r>
                <w:rPr>
                  <w:rStyle w:val="InternetLink"/>
                  <w:rFonts w:ascii="Times New Roman;Times;Serif" w:hAnsi="Times New Roman;Times;Serif"/>
                  <w:sz w:val="20"/>
                </w:rPr>
                <w:t>ITEM 15. EXHIBITS AND FINANCIAL STATEMENT SCHEDULES</w:t>
              </w:r>
            </w:hyperlink>
          </w:p>
        </w:tc>
        <w:tc>
          <w:tcPr>
            <w:tcW w:w="90" w:type="dxa"/>
            <w:tcBorders/>
            <w:vAlign w:val="center"/>
          </w:tcPr>
          <w:p>
            <w:pPr>
              <w:pStyle w:val="TableContents"/>
              <w:bidi w:val="0"/>
              <w:spacing w:before="0" w:after="283"/>
              <w:jc w:val="left"/>
              <w:rPr/>
            </w:pPr>
            <w:r>
              <w:rPr/>
              <w:t> </w:t>
            </w:r>
          </w:p>
        </w:tc>
        <w:tc>
          <w:tcPr>
            <w:tcW w:w="400" w:type="dxa"/>
            <w:tcBorders/>
            <w:vAlign w:val="center"/>
          </w:tcPr>
          <w:p>
            <w:pPr>
              <w:pStyle w:val="TableContents"/>
              <w:bidi w:val="0"/>
              <w:spacing w:before="0" w:after="283"/>
              <w:ind w:left="0" w:right="0" w:hanging="180"/>
              <w:jc w:val="center"/>
              <w:rPr/>
            </w:pPr>
            <w:r>
              <w:rPr/>
              <w:t>F-1</w:t>
            </w:r>
          </w:p>
        </w:tc>
      </w:tr>
      <w:tr>
        <w:trPr/>
        <w:tc>
          <w:tcPr>
            <w:tcW w:w="93" w:type="dxa"/>
            <w:tcBorders/>
            <w:shd w:fill="CCEEFF" w:val="clear"/>
            <w:vAlign w:val="center"/>
          </w:tcPr>
          <w:p>
            <w:pPr>
              <w:pStyle w:val="TableContents"/>
              <w:bidi w:val="0"/>
              <w:spacing w:before="0" w:after="283"/>
              <w:ind w:left="0" w:right="0" w:hanging="180"/>
              <w:jc w:val="left"/>
              <w:rPr/>
            </w:pPr>
            <w:r>
              <w:rPr/>
              <w:t> </w:t>
            </w:r>
          </w:p>
        </w:tc>
        <w:tc>
          <w:tcPr>
            <w:tcW w:w="9622" w:type="dxa"/>
            <w:tcBorders/>
            <w:shd w:fill="CCEEFF" w:val="clear"/>
            <w:vAlign w:val="center"/>
          </w:tcPr>
          <w:p>
            <w:pPr>
              <w:pStyle w:val="TableContents"/>
              <w:bidi w:val="0"/>
              <w:spacing w:before="0" w:after="283"/>
              <w:jc w:val="left"/>
              <w:rPr/>
            </w:pPr>
            <w:hyperlink w:anchor="a_029">
              <w:r>
                <w:rPr>
                  <w:rStyle w:val="InternetLink"/>
                  <w:rFonts w:ascii="Times New Roman;Times;Serif" w:hAnsi="Times New Roman;Times;Serif"/>
                  <w:sz w:val="20"/>
                </w:rPr>
                <w:t>ITEM 16. FORM 10-K SUMMARY</w:t>
              </w:r>
            </w:hyperlink>
          </w:p>
        </w:tc>
        <w:tc>
          <w:tcPr>
            <w:tcW w:w="9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center"/>
              <w:rPr/>
            </w:pPr>
            <w:r>
              <w:rPr/>
              <w:t>78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 AND USE OF CERTAIN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Annual Report on Form 10-K, the terms “we,” “us,” “our,” the “Company,” and “Oramed” mean Oramed Pharmaceuticals Inc. and our wholly-owned subsidiaries, unless otherwise indicated. All dollar amounts refer to U.S. dollars unless otherwise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exchange rate between the New Israeli Shekel, or NIS, and the dollar, as quoted by the Bank of Israel, was NIS 3.19 to $1.00. Unless indicated otherwise by the context, statements in this Annual Report on Form 10-K that provide the dollar equivalent of NIS amounts or provide the NIS equivalent of dollar amounts are based on such exchange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contained in this Annual Report on Form 10-K that are not historical facts are “forward-looking statements” within the meaning of the Private Securities Litigation Reform Act of 1995 and other federal securities laws and the Israeli securities law. Words such as “expects,” “anticipates,” “intends,” “plans,” “planned expenditures,” “believes,” “seeks,” “estimates” and similar expressions or variations of such words are intended to identify forward-looking statements, but are not deemed to represent an all-inclusive means of identifying forward-looking statements as denoted in this Annual Report on Form 10-K. Additionally, statements concerning future matters are forward-looking statements.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Such forward-looking statements appear in “Item 1. Business” and “Item 7. Management’s Discussion and Analysis of Financial Condition and Results of Operations,” as well as elsewhere in this Annual Report on Form 10-K and include, among other statements, statements regarding the following:</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05"/>
        <w:gridCol w:w="200"/>
        <w:gridCol w:w="47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 to evaluate potential strategic opportunities;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47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potential repurchases of shares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recover the proceeds and/or collateral under the Tranche A Note and Tranche B Note (as defined herein) and related agreements from Scilex Holding Company, or Scilex;</w:t>
            </w:r>
          </w:p>
        </w:tc>
      </w:tr>
    </w:tbl>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105"/>
        <w:gridCol w:w="200"/>
        <w:gridCol w:w="86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fluctuating market price and liquidity of the common stock of Scilex underlying the warrants we hold;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loan agreements in real estate projects, including, but not limited agreements to finance a real estate project, or Profit Sharing Loan Agreement, expose us to potential market, liquidity, and execution risks;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various real estate investments involve significant risks and might not provide long-term value appreciation and potential income streams that we expect to receive; as we continue to evaluate our business strategy, including potential structural changes, these investments are intended to enhance financial flexibility and maximize shareholder value. </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05"/>
        <w:gridCol w:w="200"/>
        <w:gridCol w:w="300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exposure to potential litigation;</w:t>
            </w:r>
          </w:p>
        </w:tc>
      </w:tr>
    </w:tbl>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105"/>
        <w:gridCol w:w="200"/>
        <w:gridCol w:w="41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1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enhance value for our stockholders;</w:t>
            </w:r>
          </w:p>
        </w:tc>
      </w:tr>
    </w:tbl>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05"/>
        <w:gridCol w:w="200"/>
        <w:gridCol w:w="56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development and potential benefits from our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prospects of entering into additional license agreements, or other partnerships or forms of cooperation with other companies or medical institutions;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68"/>
        <w:gridCol w:w="200"/>
        <w:gridCol w:w="60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milestones, conditions and royalties under our license agreements;</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105"/>
        <w:gridCol w:w="200"/>
        <w:gridCol w:w="6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realize a return on our investments in marketable securities that we own.;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recover the value of our investment in Lifeward, including through the senior secured convertible notes, equity consideration, warrants, and revenue-sharing payments to be received in connection with the Lifeward transactions;</w:t>
            </w:r>
          </w:p>
        </w:tc>
      </w:tr>
    </w:tbl>
    <w:p>
      <w:pPr>
        <w:pStyle w:val="TextBody"/>
        <w:bidi w:val="0"/>
        <w:spacing w:before="0" w:after="0"/>
        <w:ind w:left="0" w:right="0" w:firstLine="709"/>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expected transfer and clinical development of our POD™ technology platform through OraTech Pharmaceuticals Ltd. following the closing of the Share Purchase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research and development plans, including preclinical and clinical trials plans and the timing of enrollment, obtaining results and conclusion of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belief that our technology has the potential to deliver medications and vaccines orally that today can only be delivered via injection;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competitive ability of our technology based on product efficacy, safety, patient convenience, reliability, value and patent position;</w:t>
            </w:r>
          </w:p>
        </w:tc>
      </w:tr>
    </w:tbl>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05"/>
        <w:gridCol w:w="200"/>
        <w:gridCol w:w="3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potential market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05"/>
        <w:gridCol w:w="200"/>
        <w:gridCol w:w="55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obtain patent protection for our intellectual property;</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 that our research and development expenses will continue to be our major expenditure;</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05"/>
        <w:gridCol w:w="200"/>
        <w:gridCol w:w="6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expectations regarding our short- and long-term capital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outlook for the coming months and future periods, including but not limited to our expectations regarding future revenue and expenses; and</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105"/>
        <w:gridCol w:w="200"/>
        <w:gridCol w:w="60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with respect to any other plans and strategies for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forward-looking statements in this Annual Report on Form 10-K reflect the good faith judgment of our management, such statements can only be based on facts and factors known by us at the time of such statements.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discussed herein, including those risks described in “Item 1A. Risk Factors,” and expressed from time to time in our other filings with the Securities and Exchange Commission, or SEC. In addition, historic results of scientific research, clinical and preclinical trials do not guarantee that the conclusions of future research or trials would not suggest different conclusions. Also, historic results referred to in this Annual Report on Form 10-K could be interpreted differently in light of additional research, clinical and preclinical trials results. Readers are urged not to place undue reliance on these forward-looking statements, which speak only as of the date of this Annual Report on Form 10-K. Except as required by law, we undertake no obligation to revise or update any forward-looking statements in order to reflect any event or circumstance that may arise after the date of this Annual Report on Form 10-K. Readers are urged to carefully review and consider the various disclosures made throughout the entirety of this Annual Report on Form 10-K which attempt to advise interested parties of the risks and factors that may affect our business, financial condition, results of operations and prospects.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iii</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108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BUSINESS.</w:t>
      </w:r>
    </w:p>
    <w:p>
      <w:pPr>
        <w:pStyle w:val="TextBody"/>
        <w:bidi w:val="0"/>
        <w:spacing w:before="0" w:after="0"/>
        <w:ind w:left="1080" w:right="0" w:hanging="10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pharmaceutical company engaged in the research and development of innovative pharmaceutical solutions with a technology platform that allows for the oral delivery of therapeutic proteins. In addition, we allocate capital to strategic investments in healthcare and life sciences companies that we believe complement our long-term business objectives and technology focus.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 oral dosage form intended to withstand the harsh environment of the gastrointestinal tract and effectively deliver active insulin or other proteins. The formulation is not intended to modify the proteins chemically or biologically, and the dosage form is designed to be safe to ingest.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initiate, in the second half of 2026, a 60-patient, US-based clinical trial designed to validate the robustness of our oral insulin formulation in defined patient population. The trial is designed to use the smallest adequately powered patient population expected to obtain such validation in what we believe to be the shortest time possible, providing a cost-effective approach to generate additional compelling evidence and refine our patient selection criteria for future potential regulatory submissions.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trial will be conducted by OraTech. For additional information, see note 21 to our consolidated financial statements included in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business strategy, we continuously review our existing pipeline and evaluate potential strategic opportunities to enhance stockholder value. Accordingly, in addition to our core pharmaceutical activities, we have made strategic investments in healthcare and life sciences companies and entered into other investment, financing, and real estate transactions, as further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HTIT JV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we along with our wholly-owned subsidiary Oramed Ltd., entered into a joint venture agreement, or the Initial JV Agreement, with Hefei Tianhui Biotech Co., Ltd. or HTIT, and its subsidiary Technowl Limited or HTIT Sub., to establish OraTech, or the “JV”. OraTech will focus on developing and commercializing products based on our oral insulin and POD™ technology, utilizing HTIT’s manufacturing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we and HTIT entered into a Joint Venture Agreement or, the “JV Agreement”, amending the Initial JV Agreement, to advance the development and commercialization of oral insulin by combining our proprietary technology and funding with HTIT’s manufacturing capabilities. The initial closing did not occur due to HTIT failing to satisfy the closing conditions under the JV Agreement and the supplemental agreement. Accordingly, on October 23, 2025, we provided notice of termination of the JV Agreement and the supplemental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Scilex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2025, Scilex Holding Company (“Scilex”) effected a 1-for-35 reverse stock split of its issued and outstanding common stock. The numbers below reflect the reverse split, except with respect to the Subsequent Penny Warrants that were outstanding as of the reverse stock split date, which were not adjustable under the reverse split pursuant to the terms of such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2023 Scilex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2023, we entered into and consummated a series of transactions, or the “2023 Scilex Transaction”, with Scilex pursuant to which Scilex issued to 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promissory note, or the Tranche A Note, with a principal amount of $101,875,000, initially maturing on March 21, 2025 and bearing interest of SOFR plus 8.5%, payable in-kind. Scheduled principal payments were due quarterly from December 21, 2023, through December 21, 2024, with the remaining balance due on March 21, 2025. The maturity was subsequently extended to December 31, 2025, in exchange for 92,858 shares of Scilex common stock. An exit fee of approximately $3,056,000 became payable when the note was not repaid by March 21, 2024. Following the Option Agreement (as defined below), the maturity was subsequently extended to March 31,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2026, Scilex had repaid $69,200,000 of the amount due under the Tranche A Note and refinanced $25,000,000 as part of the 2024 Refinancing (as defined below).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as of March 26, 2026 the outstanding principal balance of the Tranche A Note is $7,675,000 (approximately $27,884,000 including accrued interest and the exit fee), which is due by March 31,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up to 128,572 shares of Scilex common stock with an exercise price of $0.35 per share, or the Closing Penny Warrants, and additional warrants or, the “Subsequent Penny Warrants”, for 57,143 shares of Scilex common stock (after giving effect to the reverse stock split) and 6,500,000 shares of Scilex common stock (which such amount was not adjusted for the reverse stock split pursuant to the terms of such warrants), with an exercise price of $0.35 and $0.01 per share, respectively.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we exercised 128,572 Closing Penny Warrants and 57,143 Subsequent Penny Warrants.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we entered into an option agreement, or the Option Agreement, with Scilex, granting Scilex the right to repurchase our remaining 6,500,000 Subsequent Penny Warrants for an aggregate price of $27,000,000 plus a $1,500,000 fee. In two separate installments on September 30, 2025 and December 30, 2025, Scilex exercised its right under the Option Agreement and repurchased all warrants for total proceeds to us of $28,500,000 (including the option fee) by December 31, 2025.</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do not hold any Closing Penny Warrants or Subsequent Penny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Transferred warrants to purchase 114,286 shares of Scilex common stock with an exercise price of $402.5 per share, fully exercisable and expiring on November 10, 2027 or, the “Transferred Warrants”. On September 20, 2024, we sold the Transferred Warrants for $300,000 (see below).</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as of December 31, 2025 we do not hold any Transferred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2024 Refinancing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we and certain institutional investors, or the Note B Holders, entered into certain agreements with Scilex, pursuant to which the Note B Holders purchased in a registered offering, or the 2024 Refinancing, (i) a new tranche B of senior secured convertible notes of Scilex in the aggregate principal amount of $50,000,000, or the Tranche B Note, which Tranche B Note is convertible into shares of Scilex common stock and (ii) warrants, or the Tranche B Warrants, to purchase up to 214,286 shares of Scilex common stock with an exercise price of $36.40. We purchased 50% of the Tranche B Note and the Tranche B Warrants, equal to an aggregate principal amount of $25,000,000 under the Tranche B Note and 107,143 Tranche B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Scilex received from us, in consideration for our purchase of the Tranche B Note and the Tranche B Warrants issued to us, an exchange and reduction of the principal outstanding balance under the Tranche A Note of $22,500,000.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2026, Scilex has repaid $13,000,000 of the principal amount outstanding under the Tranche B Note, leaving a remaining principal balance of $12,000,000 with accrued interest of approximately $495,000. The Tranche B Note matures on October 8,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Royalty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Tranche B Note, on October 8, 2024, we and certain institutional investors, or the RPA Purchasers, entered into a Purchase and Sale Agreement, or the RPA, with Scilex and Scilex Pharmaceuticals Inc., or Scilex Pharma. Pursuant to the RPA, we acquired the right to receive 4% royalties on worldwide net sales of ZTLido, SP-103 and related products for 10 years, in exchange for a reduction of $2,500,000 in the principal balance under the Tranche A Note. In addition, Scilex used $12,500,000 of the net proceeds from the Tranche B Note for the repayment of the outstanding balance under the Tranche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ZTLido Rest of the World Binding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we and certain other institutional investors and Scilex entered into a binding term sheet, or the ROW License Term Sheet, for a license and development agreement relating to ZTlido and lidocaine products outside the United States. To implement the atransaction contemplated by the ROW License Term Sheet, we and the other institutional investors agreed to operate through a joint venture, RoyaltyVest Ltd., or RoyaltyVest, a company incorporated in the British Virgin Islands. On February 12, 2025, we were transferred 50% of the issued and outstanding shares of RoyaltyVest.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22, 2025, RoyaltyVest entered into a License Agreement with Scilex (the “ZTLido License Agreement”). Under the ZTLido License Agreement, RoyaltyVest acquired exclusive rights to develop, manufacture, and commercialize lidocaine-based products, including ZTLido (lidocaine topical system 1.8%) and SP-103 (the “Product”), outside the United States. As consideration for the rights provided under the ZTLido License Agreement, (a) RoyaltyVest agreed to invest (whether through cash consideration or in-kind payment through the provision of services) $200,000 per year toward expanding the Product, (b) Scilex granted RoyaltyVest a worldwide, exclusive right, license and interest to all products rights for the development, out-licensing, commercialization of any Product outside of the United States and other territories, other than certain excluded designated territories, and (c) each of RoyaltyVest and Scilex each receive 50% percent of the net revenue generated from the commercialization of the Produce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Tranche B Note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we and other Tranche B Noteholders entered into deferral and consent agreements with Scilex or the Tranche B Note Consent, deferring Scilex’s first amortization payment under the Tranche B Note to October 8, 2026. In consideration, we received approximately $877,000 ($500,000 of the principal amount and $376,903 accrued interest) and 71,249 shares of Scilex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 of the consideration for providing the Tranche B Note Consent, on February 28, 2025, we entered into a Purchase and Sale Agreement with Scilex, Scilex Pharmaceuticals Inc. and certain other Note B Holders, pursuant to which, among other things, the applicable Note B Holders received a royalty in respect of 4% of worldwide net sales of Gloperba, Elyxyb, and related products, of which we are entitled to 50% of such royalty payments. Through RoyaltyVest, the Note B Holders, were provided the option to fund up to 50% of the cash purchase price for certain ex-US (and, as to Elyxyb, ex-Canada) product rights to Gloperba and Elyxyb and will receive proportional revenues from commercialization and licensing. As of March 31, 2025, RoyaltyVest exercised its option to Ex-U.S. product rights of Gloperba for $500,000.</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Tranche B Note Deferral and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agreed to defer until December 31, 2025, the amortization payment due from Scilex on October 1, 2025, under the amortization schedule included in the Tranche B Notes. In consideration for such deferral, Scilex agreed to issue to us certain warrants to purchase shares of Scilex’s common stock, par value $0.0001 per share. Such commitment as memorialized in a letter agreement entered into with Scilex on December 31, 2025.  The deferred amortization payment was subsequently paid to us in November 2025. A warrant to purchase 100,000 shares of Scilex common stock at an exercise price of $20.00 per share, was issued to the Company pursuant to a Warrant Agreement entered by the Company and Scilex on February 19,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Scilex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agreed to defer an amortization payment due from Scilex on October 1, 2025 under the amortization schedule included in the Tranche B Notes. The deferred amortization payment was subsequently paid to us in November 2025. In consideration for this deferral, Scilex agreed to issue to us warrants to purchase 100,000 shares of Scilex’s common stock, par value $0.0001 per share with an exercise price of $20. The warrants were issued on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2023 Scilex Transaction and 2024 Refinancing, see note 4 to our consolidated financial statements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BioXcel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diversify our investments as a part of our use of cash strategy, on March 4, 2025, RoyaltyVest, participated in a registered direct offering by BioXcel Therapeutics, Inc. (Nasdaq: BTAI), or BioXcel, acquiring 188,383 shares of BioXcel’s common stock, 3,811,617 pre-funded warrants and accompanying warrants to purchase up to an additional 4,000,000 shares for a total consideration of $14,000,000. The warrants have an exercise price of $4.20 per share, are immediately exercisable, and will expire five years from the date of issuance. The pre-funded warrants have an exercise price of $0.001 per share, are immediately exercisable with no expiration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BioXcel is a biopharmaceutical company leveraging artificial intelligence to develop innovative medicines in neuroscience and immuno-oncology. Its lead programs focus on treatments for agitation in neuropsychiatric disorders and other central nervous system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RoyaltyVest has sold 4,000,000 shares and 2,600,000 warrants for $12,502,000. As of December 31, 2025, RoyaltyVest continues to hold 1,400,000 warrants and no longer holds any shares of BioXcel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Alpha Tau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our wholly-owned subsidiary, Oramed Ltd entered into a share purchase agreement with Alpha Tau Medical Ltd. (Nasdaq: DRTS), or Alpha Tau, a clinical-stage oncology company developing a proprietary alpha-radiation cancer therapy platform known as Alpha DaRT™. Pursuant to the agreement, Oramed Ltd. purchased 14,110,121 ordinary shares, no par value per share, of Alpha Tau in a registered direct offering at a price of $2.612 per share, for an aggregate purchase price of approximately $36,900,000. The closing of the transaction occurred on April 28, 2025. In connection with the investment, Oramed Ltd. has the right and have nominated two directors to Alpha Tau’s board of directors. In addition, since the share purchase agreement date and until December 31, 2025, we purchased an additional 359,214 shares of Alpha Tau for an aggregate amount of $1,255,781. As of December 31, 2025 and March 26, 2026, we hold an aggregate of 14,469,335 ordinary shares of Alpha Tau, representing approximately 17% of its outstanding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we and Alpha Tau entered into a services agreement, or the Service Agreement, pursuant to which we will provide Alpha Tau with investor relations and public relations services. As consideration, Alpha Tau agreed to pay us a non-refundable fee of $3,000,000 over three years and to issue to us warrants to purchase up to 3,237,000 ordinary shares of Alpha Tau at exercise prices ranging from $3.474 to $3.90 per share. The term of the Services Agreement is three years, with limited termination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Alpha DaRT™ </w:t>
      </w:r>
      <w:r>
        <w:rPr>
          <w:rFonts w:ascii="Times New Roman;Times;Serif" w:hAnsi="Times New Roman;Times;Serif"/>
          <w:b w:val="false"/>
          <w:i/>
          <w:caps w:val="false"/>
          <w:smallCaps w:val="false"/>
          <w:sz w:val="20"/>
        </w:rPr>
        <w:t>Platform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Tau’s Alpha DaRT platform is designed to deliver highly localized alpha radiation through intratumoral insertion of radium-224 impregnated sources into solid tumors. When the radium decays, its short-lived daughters are released and disperse while emitting high-energy alpha particles aimed at destroying tumor cells while sparing surrounding healthy tissue. This approach potentially offers a novel treatment solution for patients with otherwise difficult-to-treat cancers where conventional external beam radiation may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Development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Tau is currently conducting an extensive clinical program with five concurrent FDA-approved trials in the United States, alongside additional trials in France, Italy, Israel, and planned studies in the UK: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Clinical Trials: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ReSTART Pivotal Trial (Recurrent SCC Treatment with Alpha DaRT Radiation Therapy)</w:t>
            </w:r>
            <w:r>
              <w:rPr>
                <w:rFonts w:ascii="Times New Roman;Times;Serif" w:hAnsi="Times New Roman;Times;Serif"/>
              </w:rPr>
              <w:t>: A multi-center pivotal study in patients with recurrent cutaneous squamous cell carcinoma (cSCC), the second most common form of skin cancer. As of January 2026, Alpha Tau targeted completion of patient recruitment in Q1 2026 and has begun submitting modules of its Modular Pre-Market Approval (PMA) application to the FDA, with expected completion of the full submission by year-end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IMPACT Study (Intratumoral Pancreatic Alpha Combination Trial)</w:t>
            </w:r>
            <w:r>
              <w:rPr>
                <w:rFonts w:ascii="Times New Roman;Times;Serif" w:hAnsi="Times New Roman;Times;Serif"/>
              </w:rPr>
              <w:t>: A multi-center pilot study in newly-diagnosed pancreatic cancer patients combining Alpha DaRT with chemotherapy. Alpha Tau reported encouraging data from its first-in-human pancreatic cancer studies in Canada and Israel, including positive results presented at the 2026 ASCO Gastrointestinal Cancers Symposium. Alpha Tau is targeting completion of patient accrual by the end of Q1 2026, with initial results expected by year-end 2026.</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GBM Feasibility Study</w:t>
            </w:r>
            <w:r>
              <w:rPr>
                <w:rFonts w:ascii="Times New Roman;Times;Serif" w:hAnsi="Times New Roman;Times;Serif"/>
              </w:rPr>
              <w:t>: A study in patients with recurrent glioblastoma multiforme (GBM), a highly aggressive malignant brain tumor. Alpha Tau announced treatment of its first patient at Ohio State University and expects initial results around the end of Q4 2026.</w:t>
            </w:r>
          </w:p>
        </w:tc>
      </w:tr>
    </w:tbl>
    <w:p>
      <w:pPr>
        <w:pStyle w:val="TextBody"/>
        <w:bidi w:val="0"/>
        <w:spacing w:before="0" w:after="0"/>
        <w:ind w:left="720" w:right="0" w:hanging="36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68"/>
        <w:gridCol w:w="200"/>
        <w:gridCol w:w="9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Recurrent Prostate Cancer Pilot Study</w:t>
            </w:r>
            <w:r>
              <w:rPr>
                <w:rFonts w:ascii="Times New Roman;Times;Serif" w:hAnsi="Times New Roman;Times;Serif"/>
              </w:rPr>
              <w:t>: A pilot study in patients with locally recurrent prostate cancer.</w:t>
            </w:r>
          </w:p>
        </w:tc>
      </w:tr>
    </w:tbl>
    <w:p>
      <w:pPr>
        <w:pStyle w:val="TextBody"/>
        <w:bidi w:val="0"/>
        <w:spacing w:before="0" w:after="0"/>
        <w:ind w:left="720" w:right="0" w:hanging="360"/>
        <w:jc w:val="both"/>
        <w:rPr>
          <w:caps w:val="false"/>
          <w:smallCaps w:val="false"/>
        </w:rPr>
      </w:pPr>
      <w:r>
        <w:rPr>
          <w:caps w:val="false"/>
          <w:smallCaps w:val="false"/>
        </w:rPr>
        <w:t> </w:t>
      </w:r>
    </w:p>
    <w:tbl>
      <w:tblPr>
        <w:tblW w:w="10008" w:type="dxa"/>
        <w:jc w:val="left"/>
        <w:tblInd w:w="0" w:type="dxa"/>
        <w:tblLayout w:type="fixed"/>
        <w:tblCellMar>
          <w:top w:w="0" w:type="dxa"/>
          <w:left w:w="0" w:type="dxa"/>
          <w:bottom w:w="0" w:type="dxa"/>
          <w:right w:w="0" w:type="dxa"/>
        </w:tblCellMar>
      </w:tblPr>
      <w:tblGrid>
        <w:gridCol w:w="68"/>
        <w:gridCol w:w="200"/>
        <w:gridCol w:w="97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Immunocompromised cSCC Study</w:t>
            </w:r>
            <w:r>
              <w:rPr>
                <w:rFonts w:ascii="Times New Roman;Times;Serif" w:hAnsi="Times New Roman;Times;Serif"/>
              </w:rPr>
              <w:t>: A multi-center study in immunocompromised patients with cSCC.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Alpha Tau is engaged in pre-clinical research partnerships with leading academic institutions including Mayo Clinic, McGill University, Emory University, and MD Anderson Cancer Center, exploring combinations with immunotherapy. Alpha Tau has also reported encouraging interim data from a clinical study in Israel examining the combination of Alpha DaRT with checkpoint inhibitor therapeutics for patients with locally advanced or metastatic head and neck squamous cell carcinoma, and is exploring the possibility of conducting a sixth U.S. trial in this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and Commercial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ongoing FDA engagement for its U.S. clinical programs, Alpha Tau has reported that it is anticipating a response from Japan’s Ministry of Health, Labour and Welfare regarding its application for approval of Alpha DaRT in the treatment of recurrent head and neck cancer, which would mark Alpha DaRT’s first commercial approval outside of Israel if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manufacturing front, Alpha Tau has received a radioactive materials license for its Hudson, New Hampshire facility and is currently equipping the facility for Alpha DaRT manufacturing to support commercial readiness and scale-up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Overview Rationale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Tau has demonstrated encouraging clinical progress across multiple difficult-to-treat cancer types, including pancreatic cancer, head and neck cancer, and skin cancer, with interim data showing disease control and early signals of clinical benefit. With five concurrent FDA-approved trials in the U.S., ongoing regulatory dialogue with the FDA, potential near-term regulatory approval in Japan, and advancement toward PMA submission for its pivotal skin cancer trial, Alpha Tau is entering a critical phase of clinical validation and regulatory progression. The company’s innovative alpha-radiation platform, combined with its expanding clinical footprint across multiple solid tumor types and growing manufacturing capabilities, represents what we believe to be a compelling investment opportunity in the oncology therapeutics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Pelthos Therapeutics Inc.</w:t>
      </w:r>
    </w:p>
    <w:p>
      <w:pPr>
        <w:pStyle w:val="TextBody"/>
        <w:bidi w:val="0"/>
        <w:spacing w:before="0" w:after="0"/>
        <w:ind w:left="567"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we purchased 150,000 shares of common stock of Pelthos Therapeutics Inc, or Pelthos, for an aggregate amount of $1,500,000. Subsequent to December 31, 2025 and through March 26, 2026, we sold 6,577 shares of Pelthos common stock of for aggregate proceeds of approximately $173,000. Following these sales, we hold 143,423 shares of Pelthos common stock.</w:t>
      </w:r>
    </w:p>
    <w:p>
      <w:pPr>
        <w:pStyle w:val="TextBody"/>
        <w:bidi w:val="0"/>
        <w:spacing w:before="0" w:after="0"/>
        <w:ind w:left="142" w:right="0" w:firstLine="567"/>
        <w:jc w:val="both"/>
        <w:rPr>
          <w:caps w:val="false"/>
          <w:smallCaps w:val="false"/>
        </w:rPr>
      </w:pPr>
      <w:r>
        <w:rPr>
          <w:caps w:val="false"/>
          <w:smallCaps w:val="false"/>
        </w:rPr>
        <w:t> </w:t>
      </w:r>
    </w:p>
    <w:p>
      <w:pPr>
        <w:pStyle w:val="TextBody"/>
        <w:bidi w:val="0"/>
        <w:spacing w:before="0" w:after="0"/>
        <w:ind w:left="142" w:right="0" w:firstLine="567"/>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w:t>
      </w:r>
    </w:p>
    <w:p>
      <w:pPr>
        <w:pStyle w:val="TextBody"/>
        <w:bidi w:val="0"/>
        <w:spacing w:before="0" w:after="0"/>
        <w:jc w:val="center"/>
        <w:rPr/>
      </w:pPr>
      <w:r>
        <w:rPr/>
        <w:t> </w:t>
      </w:r>
    </w:p>
    <w:p>
      <w:pPr>
        <w:pStyle w:val="TextBody"/>
        <w:bidi w:val="0"/>
        <w:spacing w:before="0" w:after="0"/>
        <w:ind w:left="142"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Nano Dimension Ltd.</w:t>
      </w:r>
    </w:p>
    <w:p>
      <w:pPr>
        <w:pStyle w:val="TextBody"/>
        <w:bidi w:val="0"/>
        <w:spacing w:before="0" w:after="0"/>
        <w:ind w:left="567"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purchased an aggregate of 5,436,791 ordinary shares, par value NIS 5.00 per share or, “Nano Ordinary Shares”, of Nano Dimension Ltd., or Nano, for an aggregate amount of approximately $8,501,000. Subsequent to December 31, 2025 and through March 26, 2026, we purchased an additional 6,401,939 of Nano ordinary shares for an aggregate purchase price of approximately $12,308,000 and we sold 1,269,987 ordinary shares of Nano for aggregate proceeds of approximately $2,606,000. Following these transactions, we hold an aggregate of 10,568,743 Nano ordinary shares, representing approximately 5.02% of its outstanding shares as of March 26, 2026, based on 210,334,767 Nano Ordinary Shares outstanding as of October 14, 2025, as reported in a Report of Foreign Private Issuer on Form 6-K filed with the SEC on December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and intend to in the future, engage in discussions with Nano’s management, members of Nano’s board of directors, and/or other shareholders of Nano concerning, among other things, Nano’s performance, the market price of the Nano Ordinary Shares relative to the value of Nano’s assets, potential financing options for Nano, Nano’s business strategy, potential transactions and other issues for the betterment of Nano. We intend to engage in discussions with Nano and other shareholders thereof regarding the management of Nano and to recommend changes to the composition of the board of directors and expect to subsequently have further discussion with Nano’s management and board of directors covering board composition as well as a broad range of subjects relative to performance, strategic direction, shareholder value and governance of Nano.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Lifeward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Secured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in anticipation of the transactions contemplated by the Lifeward Share Purchase Agreement and the Lifeward Notes Purchase Agreement described below, we entered into a loan agreement with Lifeward Ltd. or “Lifeward” pursuant to which we provided Lifeward with a $3,000,000 secured promissory note bearing interest at 15% per annum and maturing on May 14, 2026, unless earlier repaid or converted in accordance with its terms. The note is secured by a lien on Lifeward’s cash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and accrued interest under the note are convertible into Lifeward ordinary shares at a conversion price of $5.40 per share, reflecting Lifeward’s 12-for-1 reverse share split effected on February 24, 2026, which adjusted the original conversion price of $0.45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2026, we agreed to provide Lifeward with an additional secured promissory note with an initial principal amount of $525,000, which may be increased by up to an additional $975,000, bearing interest at 24% per annum and secured by a lien on Lifeward’s cash. As of March 26, 2026, we had funded $1,025,000 under this additional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and accrued interest under the secured promissory notes are expected to be rolled into the Initial Notes issued under the Lifeward Notes Purchase Agreement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Lifeward Share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Share Purchase Agreement or, the “Lifeward Share Purchase Agreement” with Lifeward and OraTech pursuant to which Lifeward agreed to acquire all of the outstanding equity interests of OraTech from us or the “Share Purchase Transaction”. Prior to the closing, we transferred to Oratech all intellectual property and related assets relating to our POD™ (Protein Oral Delivery) technology platform, together with cash to fund the next planned clinical trial and related development activities. As a result, commencing on the closing date of March 25, 2026, research and development expenses will be borne by Oratech.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OraTech, Lifeward issued to us: (i) Lifeward Ordinary Shares and pre-funded warrants to purchase Lifeward Ordinary Shares representing up to 49.99% of Lifeward’s fully diluted equity capitalization at closing, subject to adjustments, which such the Lifeward Ordinary Shares issued at closing represented less than 45.0% of the outstanding Lifeward Ordinary Shares at closing; (ii) warrants to purchase Lifeward Ordinary Shares equal to the quotient of Lifeward’s net cash at closing divided by an exercise price of $5.40 per share, reflecting Lifeward’s 12-for-1 reverse share split effected on February 24, 2026 (which adjusted the original exercise price of $0.45 per share), subject to adjustments or, the “Share Purchase Warrants”; and (iii) revenue-sharing payments equal to 4% of the net revenue from Lifeward’s ReWalk Personal Exoskeleton products and related extended warranties for up to 10 years following closing, subject to certain caps and early termination upon the occurrence of specified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Share Purchase Transaction was subject to customary closing conditions, including the approval of Lifeward’s shareholders for the issuance of more than 19.99% of Lifeward Ordinary Shares in accordance with Nasdaq listing standards. Such shareholder approval was obtained on March 12, 2026. The closing of the Share Purchase Transaction took place on March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Lifeward agreed to file a resale registration statement with the SEC covering the Lifeward Ordinary Shares issued in the transaction and those issuable upon exercise of the pre-funded warrants and warrants described above as soon as practicable following closing, but no later than 75 days after closing, and to use commercially reasonable efforts to have such registration statement declared effective within 75 days after closing (or 105 days in the event of a full SEC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Pre-Funded Warrants and Share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Warrants were immediately exercisable upon issuance at an initial exercise price of $5.40 per share, reflecting Lifeward’s 12-for-1 reverse share split effected on February 24, 2026 (which adjusted the original exercise price of $0.45 per share), and expire five years from the date of issuance. The exercise price is subject to customary 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$0.0012 per share (reflecting the reverse-split adjusted price of the original $0.0001 per share), subject to customary adjustments, and will remain exercisable until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any portion of the Pre-Funded Warrants or Share Purchase Warrants to the extent that, after giving effect to such exercise, we and our affiliates would beneficially own more than 45.0% of the outstanding Lifeward Ordinary Shares. This limitation will automatically increase to 49.99% once (i) the Investors no longer hold any Notes and (ii) the Investors have sold all Note Shares issued or issuable upon conversion of the Notes and related warrants. We may increase the beneficial ownership limitation upon at least 61 days’ prior notice to Lifeward; provided that, for so long as certain Lifeward warrants outstanding as of the issuance date remain outstanding, any such increase will require Lifeward’s consent, which may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Lifeward Share Purchase Agreement, we entered into a lock-up agreement for a period of 120 days after the Closing, without the prior written consent of Lifeward.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Lifeward Share Purchase Agreement we agreed to enter into a clinical trial management or, the “Clinical Trial Management Agreement” with Oratech, pursuant to which we agreed to manage the clinical study of Oratech’s investigational oral insulin capsule product or, the “Study”, including providing clinical trial management and administrative services through study completion or, the “Services”. In consideration for the Services, OraTech will reimburse us for all reasonable out-of-pocket expenses actually incurred by us in providing the Services and payments made on behalf of OraTech to third parties and vendors, such as clinical sites, if applicable, subject to certain limitations and maximum payments as set forth in the Clinical Trial Management Agreement. The Clinical Trial Management Agreement will terminate upon completion of the Study unless earlier terminated in accordance with the terms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Notes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Securities Purchase Agreement or, the “Lifeward Notes Purchase Agreement” with Lifeward and other investors pursuant to which we agreed to purchase, in a private placement, up to $18,000,000 of senior secured convertible notes issued by Lifeward, together with accompanying warrants to purchase Lifeward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which occurred on March 25, 2026, we agreed to purchase $9,000,000 aggregate principal amount of such notes or, the “Initial Notes”. The Initial Notes bear interest at 8% per annum, payable semi-annually, and mature three years from the date of issuance. The Initial Notes are convertible into Lifeward Ordinary Shares at an initial conversion price of $5.40 per share, reflecting Lifeward’s 12-for-1 reverse share split effected on February 24, 2026 (which adjusted the original conversion price of $0.45 per share), subject to customary 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to purchase an additional $9,000,000 aggregate principal amount of notes or, the “Additional Notes” and together with the Initial Notes, or, the “Notes”, together with accompanying warrants, on substantially the same terms as the Initial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Additional Notes is subject to customary closing conditions and either: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30"/>
        <w:gridCol w:w="9907"/>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907" w:type="dxa"/>
            <w:tcBorders/>
            <w:vAlign w:val="center"/>
          </w:tcPr>
          <w:p>
            <w:pPr>
              <w:pStyle w:val="TableContents"/>
              <w:bidi w:val="0"/>
              <w:spacing w:before="0" w:after="283"/>
              <w:jc w:val="both"/>
              <w:rPr/>
            </w:pPr>
            <w:r>
              <w:rPr/>
              <w:t xml:space="preserve">Lifeward achieving at least a </w:t>
            </w:r>
            <w:r>
              <w:rPr>
                <w:b w:val="false"/>
              </w:rPr>
              <w:t>150% increase in ReWalk unit sales</w:t>
            </w:r>
            <w:r>
              <w:rPr/>
              <w:t xml:space="preserve"> compared to the trailing twelve-month period immediately preceding the Additional Closing;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2"/>
        <w:gridCol w:w="9865"/>
      </w:tblGrid>
      <w:tr>
        <w:trPr/>
        <w:tc>
          <w:tcPr>
            <w:tcW w:w="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65" w:type="dxa"/>
            <w:tcBorders/>
            <w:vAlign w:val="center"/>
          </w:tcPr>
          <w:p>
            <w:pPr>
              <w:pStyle w:val="TableContents"/>
              <w:bidi w:val="0"/>
              <w:spacing w:before="0" w:after="283"/>
              <w:jc w:val="both"/>
              <w:rPr/>
            </w:pPr>
            <w:r>
              <w:rPr/>
              <w:t xml:space="preserve">the closing price of Lifeward Ordinary Shares equaling or exceeding </w:t>
            </w:r>
            <w:r>
              <w:rPr>
                <w:b w:val="false"/>
              </w:rPr>
              <w:t>$13.80 per share</w:t>
            </w:r>
            <w:r>
              <w:rPr/>
              <w:t xml:space="preserve">, reflecting Lifeward’s </w:t>
            </w:r>
            <w:r>
              <w:rPr>
                <w:b w:val="false"/>
              </w:rPr>
              <w:t>12-for-1 reverse share split</w:t>
            </w:r>
            <w:r>
              <w:rPr/>
              <w:t xml:space="preserve"> (which adjusted the original $1.15 threshold), for </w:t>
            </w:r>
            <w:r>
              <w:rPr>
                <w:b w:val="false"/>
              </w:rPr>
              <w:t>10 consecutive trading days</w:t>
            </w:r>
            <w:r>
              <w:rPr/>
              <w:t xml:space="preserve"> immediately prior to the Additional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Initial Notes was subject to customary closing conditions, including the approval of Lifeward’s shareholders for the issuance of more than 19.99% of Lifeward Ordinary Shares in accordance with Nasdaq listing standards. Such shareholder approval was obtained on March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Lifeward agreed to file a resale registration statement with the SEC covering the Lifeward Ordinary Shares issuable upon conversion of the Notes and exercise of the related warrants within 30 days after the Initial Closing, and to use commercially reasonable efforts to have the registration statement declared effective within 45 days thereafter (or 75 days in the event of a full SEC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Overview Rationale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ongoing portfolio optimization and focus on high potential innovation, during 2026 we entered into a strategic transaction with Lifeward Ltd. Under this agreement, we transferred our proprietary Protein Oral Delivery POD platform, representing years of research to enable oral administration of injectable biologics including its refined oral insulin program, to Lifeward while retaining responsibility for managing the near-term clinical development program and receiving a significant equity ownership interest in the combined company. This transaction aligns us with a revenue generating medical robotics business with established products such as ReWalk and AlterG, providing near term cash flow and diversified exposure alongside the long term upside of the POD platform. we believe that prior execution challenges at Lifeward were driven primarily by strategy and management rather than the quality of the underlying technology. With a new strategic direction and leadership team in place, we believe Lifeward is well positioned to advance the oral insulin program and fully realize the value of its combined technology platforms, ultimately delivering meaningful growth and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Corner Ally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2026, our board approved the formation of Corner Ally Ventures or, the “Fund”, a new venture capital fund focused on investments in Israeli technology companies. We co-founded the Fund together with Corner Capital Management, LLC and, together with Ben Shapiro, are expected to serve as a major general partner of the Fund and to participate in its management and investment decision-making and may be entitled to a share of the Fund’s carried interest. We also expect to serve as an anchor limited partner and have committed to vest up to $40,000,000 in the Fund, which is expected to be funded over an anticipated four-year capital call period. The Fund’s initial closing, subject to a minimum capital commitment of $75,000,000, is expected to occur in the third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 Estate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2024, our Board of Directors, or the Board, approved investments of up to $10,000,000 in real estate assets. This decision aligns with our strategic approach to capital allocation, leveraging opportunities in the current real estate market where we have identified attractive investment prospects. With interest rates expected to decline and valuations presenting favorable entry points, the Board believes these investments could provide long-term value appreciation and potential income streams, further strengthening our financial position. As we continue to evaluate our business strategy, including potential structural changes, these investments are intended to enhance financial flexibility and maximize shareholder value. On February 13, 2025, the Board approved increasing the real estate investments to up to $30,000,000.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Profit-Sharing Loan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we entered into a loan agreement, or the Profit-Sharing Loan Agreement, with Rabi Binyamin 4 Tama 38 Ltd. or, the “Borrower”, to finance a real estate project or, the “Rabi Binyamin Project”. According to the terms of the Profit-Sharing Loan Agreement, we agreed to loan NIS 5,500,000 (approximately $1,523,000) or, the “Loan Principal”, to the Borrower. NIS 4,700,000 (approximately $1,307,000) was loaned upon signing the Profit-Sharing Loan Agreement and an additional NIS 800,000 (approximately $237,000), or the Additional Payment, will be loaned upon certain milestones. On October 28, 2025, the Borrower met the milestones and is entitled to the additional payment.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2025, we loaned an additional NIS 500,000 (approximately $150,286) to the Borrower or’ the “Additional Loan”. The Additional Loan bears an annual interest of 6% and shall be repaid by December 31, 2025. According to the Additional Loan agreement, we shall be entitled to instruct the Borrower that instead of repaying the Additional Loan on the maturity date, the principal amount of the loan, as well as any accrued interest up to the date of such notice, shall be deemed to constitute a loan amount provided by us, as part of the remaining portion of the Profit-Sharing Loan Agreement. As of December 31, 2025, the Additional Loan had not been repaid. The maturity date of the Additional Loan was subsequently extended to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Rabi Binyamin Project, we are entitled to receive the Loan Principal and the greater of: (i) 20% annual interest of the Loan Principal and (ii) 40% of the Rabi Binyamin Project profits.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Castel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entered into an agreement to acquire a parcel of land in Mevaseret Zion, Israel for a total purchase price of NIS 5,800,000 ($1,586,000). The transaction was structured as installments payments, and as of December 31, 2025, we had paid the full purchase price. We intend to pursue value-enhancing activities in connection with the land, with the goal of increasing its potential return upon future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Ruby Sapphire II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we entered into agreement and committed to invest NIS 7,000,000 (approximately $2,185,000) as a limited partner in Ruby Capital Investment Fund Sapphire II, Limited Partnership or, the “Ruby Sapphire II”, an Israeli private investment fund. Our commitment may be drawn down over time in accordance with the fund’s partnership agreement, and the investment is subject to the risks inherent in private investment funds, including illiquidity and the potential loss of invested capital. As of March 26, 2026, we had funded NIS 1,556,493 (approximately $499,000) under this commitment.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to Hapisga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we entered into a loan agreement with Hapisga Project – New Talpiot Ltd. to finance a purchase of a real estate asset in Jerusalem, Israel in the amount of up to $22,650,000 or, the “Hapisga Loan”. The loan has a one-year maturity, and a caveat was registered on the property reflecting a commitment to register a first-ranking mortgage on the property which is valued at approximately NIS 3,000,000,000 (approximately $890,000,000), providing significant collateral coverage. The loan bears an annual interest rate of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date, we entered into a loan agreement with Tova Chochma Im Nachala Ltd. or, the “Tova Chochma” in the amount of $5,000,000. The loan bears an annual interest rate of 12% with a maturity date of 12 months. In May 2025, Tova Chochma repaid an amount of $500,000. Tova Chochma can repay the loan at any time. This loan is also secured by the registration of the caveat for Hapisga Loan. The loans were granted by us in April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Oral Insulin and Strategic Review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proprietary flagship product, an orally ingestible insulin capsule, or ORMD-0801, allows insulin to travel from the gastrointestinal tract via the portal vein to the bloodstream, revolutionizing the manner in which insulin is delivered. It enables the passage in a more physiological manner than current delivery methods of insulin. We conducted the ORA-D-013-1 Phase 3 trial on patients with type 2 diabetes, with inadequate glycaemic control who were on two or three oral glucose-lowering agents. The primary endpoint of the trial was to evaluate the efficacy of ORMD-0801, compared to placebo in improving glycaemic control as assessed by HbA1c, with a secondary efficacy endpoint of assessing the change from baseline in fasting plasma glucose at 26 weeks. On January 11, 2023, we announced that the ORA-D-013-1 Phase 3 trial did not meet its primary or secondary endpoints.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January 2023 results, we initiated a strategic review process and conducted a comprehensive analysis of the data to understand if there is a path forward for our oral insulin candidate. Accordingly, we completed a subpopulation analysis that identified patient groups with specific parameters (BMI, baseline HbA1c, and age) demonstrating an over 1% placebo-adjusted, statistically significant reduction in HbA1c. Based on these findings, on September 12, 2024, we submitted a protocol to the FDA titled, “A Double-Blinded, Placebo-controlled, Double Dummy Multi-Center Randomized, Phase 3 Study to Evaluate the efficacy and safety in subjects with Type 2 Diabetes Mellitus with Inadequate Glycemic Control on One to Three Glucose-lowering Agents” or a revised Phase 3 trial (ORA-D-013-3).</w:t>
      </w:r>
    </w:p>
    <w:p>
      <w:pPr>
        <w:pStyle w:val="TextBody"/>
        <w:bidi w:val="0"/>
        <w:spacing w:before="0" w:after="0"/>
        <w:ind w:left="0" w:right="0" w:firstLine="709"/>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on initiating a 60-patient, US-based clinical trial designed to validate the robustness of our oral insulin formulation in these high-responder populations. The trial is designed to use the smallest adequately powered patient population expected to obtain such validation in what we believe to be the shortest time possible, providing a cost-effective approach to generate additional compelling evidence and refine our patient selection criteria for future potential regulatory submissions. The trial will be conducted by OraTech. For additional information, see note 21 to our consolidated financial statements included in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Diabetes Market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Diabetes is a disease in which the body does not produce or properly use insulin. Insulin is a hormone that causes sugar to be absorbed into cells, where the sugar is converted into energy needed for daily life. The cause of diabetes is attributed both to genetics (type 1 diabetes, or T1D) and, most often, to environmental factors such as obesity and lack of exercise (T2D). According to the International Diabetes Federation, or IDF, approximately 589 million adults (20-79 years) worldwide suffered from diabetes in 2024 and the IDF projects this number will increase to 853 million by 2050. According to the American Diabetes Association or, the “ADA”, in 2024, the United States there were approximately 38.5 million people with diabetes. Diabetes is a leading cause of blindness, kidney failure, heart attack, stroke and amputation.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 and Patents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a portfolio of patents and patent applications covering our technologies, and we are aggressively protecting these technology developments on a worldwide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proactive intellectual property strategy, which includes patent filings in multiple jurisdictions, including the United States and other commercially significant markets. We hold 21 patent applications currently pending, with respect to various compositions, methods of production and oral administration of proteins and exenatide. Expiration dates for pending patents, if granted, will fall between 2026 and 2039.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141 patents, one of which issued during the year ended December 31, 2025, including patents issued by the United States, Swiss, German, French, U.K., Italian, Netherlands, Swedish, Spanish, Australian, Israeli, Japanese, New Zealand, South African, Russian, Canadian, Hong Kong, Chinese, European and Indian patent offices that cover a part of our technology, which allows for the oral delivery of proteins; patents issued by the Australian, Canadian, European, Austrian, Belgian, French, German, Irish, Italian, Luxembourg, Monaco, Netherlands, Norwegian, Spanish, Swedish, Swiss, U.K., Israeli, New Zealand, South African, Russian, Brazilian and Japanese patent offices that cover part of our technology for the oral delivery of exenatide; and patents issued by the European, Austrian, Belgian, Denmark, French, German, Irish, Italian, Luxembourg, Monaco, Netherlands, Norway, Spanish, Swedish, Swiss, U.K. and Japanese patent offices for treating diabetes.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our strategy to seek protection in key markets worldwide, we have been and will continue to pursue the patent applications and corresponding foreign counterparts of such applications. We believe that our success will depend on our ability to obtain patent protection for our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patent strategy is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Aggressively protect all current and future technological developments to assure strong and broad protection by filing patents and/or continuations in part as appropriate,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 technological developments at various levels, in a complementary manner, including the base technology, as well as specific applications of the technology,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comprehensive coverage in the United States and in all relevant foreign markets in anticipation of future commercialization opportunities.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Secrets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trademark applications pending in Israel, with Corresponding international trademark applications in Australia, Brazil, Canada, China, Colombia, the European Union, India, Indonesia, Japan, Kazakhstan, Korea, Malaysia, Mexico, New Zealand, Norway, Oman, Philippines, Russia, Singapore, Switzerland, Thailand, Turkey, Ukraine, United Arab Emirates, United Kingdom, U.S.A., Uzbekistan and Vietnam.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rely on trade secrets and unpatentable know-how that we seek to protect, in part, by confidentiality agreements. Our policy is to require our employees, consultants, contractors, manufacturers, outside scientific collaborators and sponsored researchers, our Board, technical review board and other advisors,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limited circumstances. We also require signed confidentiality or material transfer agreements from any company that is to receive our confidential information. In the case of employees, consultants and contractors, the agreements provide that all inventions conceived by the individual while rendering services to us shall be assigned to us as the exclusive property of us. There can be no assurance, however, that all persons who we desire to sign such agreements will sign, or if they do, that these agreements will not be breached, that we would have adequate remedies for any breach, or that our trade secrets or unpatentable know-how will not otherwise become known or be independently developed by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Out-Licensed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strategic agreements with Lifeward pursuant to which we agreed to sell all of the outstanding equity interests of OraTech, effectively transferring all intellectual property and related assets relating to our POD™ (Protein Oral Delivery) technology platform, together with associated development activities for the oral insulin program. In consideration, we will receive equity securities of Lifeward, including ordinary shares and warrants, as well as potential revenue-sharing payments. In addition, we will continue to support the development of the out-licensed technology by providing clinical trial management and related services for the oral insulin capsule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Entera Bio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2010, our wholly-owned subsidiary, Oramed Ltd., entered into a joint venture agreement with Israel Canada Hotels Ltd (formerly DNA GROUP (T.R.) Ltd.) or DNA, for the establishment of Entera Bio Ltd., or Entera.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2011, Oramed Ltd. sold shares of Entera to DNA and retaining 117,000 ordinary shares (after giving effect to Entera’s July 2018 stock split), and, as part of the consideration, received ordinary shares of DNA. In connection with the joint venture, Oramed Ltd entered into a patent transfer agreement pursuant to which it assigned to Entera its rights to a patent application related to the oral administration of proteins (previously licensed to Entera since August 2010), in return for royalties of 3% of Entera’s net revenues and a license back of diabetes and influenza indications.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Entera had not paid any royalties to Oramed Ltd. During the years ended December 31, 2025 and 2024, we did not sell any of DNA’s ordinary shares. As of December 31, 2025, we held approximately 0.2% of DNA’s outstanding ordinary shares and 0.3% of Entera’s outstanding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HTIT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2015-2016, we entered into an exclusive license agreement with HTIT, as amended or, the “HTIT License Agreement”, granting HTIT commercialization rights to our oral insulin capsule, ORMD-0801, in the People’s Republic of China, Macau, and Hong Kong. Under the agreement, HTIT conducts pre-commercialization and regulatory activities at its own expense and pays us (i) royalties of 10% on net sales (subject to reduction to 8% if certain conditions are not met, or 5% following patent expiration in 2033), and (ii) milestone payments totaling $37,500,000, of which we have received $20,500,000. The royalty payment obligation continues from first commercial sale until the later of (i) patent expiration in the territory or (ii) 15 years after first commercial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HTIT has submitted a Marketing Authorization Application to China’s regulators for the oral insulin capsule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Drug Development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requirements for the approval of new drugs vary from one country to another. In order to obtain approval to market our drug portfolio, we need to go through a different regulatory process in each country in which we apply for such approval. In some cases, information gathered during the approval process in one country can be used as supporting information for the approval process in another country. As a strategic decision, we decided to first explore the FDA regulatory pathway. The following is a summary of the FDA’s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requires that pharmaceutical and certain other therapeutic products undergo significant clinical experimentation and clinical testing prior to their marketing or introduction to the general public. Clinical testing, known as clinical trials or clinical studies, is either conducted internally by life science, pharmaceutical or biotechnology companies or is conducted on behalf of these companies by CROs.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conducting clinical trials is highly regulated by the FDA, as well as by other governmental and professional bodies. Below we describe the principal framework in which clinical trials are conducted, as well as describe a number of the parties involved in these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Protocols</w:t>
      </w:r>
      <w:r>
        <w:rPr>
          <w:rFonts w:ascii="Times New Roman;Times;Serif" w:hAnsi="Times New Roman;Times;Serif"/>
          <w:b w:val="false"/>
          <w:i w:val="false"/>
          <w:caps w:val="false"/>
          <w:smallCaps w:val="false"/>
          <w:sz w:val="20"/>
        </w:rPr>
        <w:t>. Before commencing human clinical trials, the sponsor of a new drug or therapeutic product must submit an IND application to the FDA. The application contains, among other documents, what is known in the industry as a protocol. A protocol is the blueprint for each drug study. The protocol sets forth, among other things, the following:</w:t>
      </w:r>
    </w:p>
    <w:p>
      <w:pPr>
        <w:pStyle w:val="TextBody"/>
        <w:bidi w:val="0"/>
        <w:spacing w:before="0" w:after="0"/>
        <w:ind w:left="0" w:right="0" w:firstLine="72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105"/>
        <w:gridCol w:w="200"/>
        <w:gridCol w:w="396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Who must be recruited as qualified participants,</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05"/>
        <w:gridCol w:w="200"/>
        <w:gridCol w:w="36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often to administer the drug or product,</w:t>
            </w:r>
          </w:p>
        </w:tc>
      </w:tr>
    </w:tbl>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05"/>
        <w:gridCol w:w="200"/>
        <w:gridCol w:w="37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tests to perform on the participants, and</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105"/>
        <w:gridCol w:w="200"/>
        <w:gridCol w:w="630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What dosage of the drug or amount of the product to give to the participants.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Institutional Review Board</w:t>
      </w:r>
      <w:r>
        <w:rPr>
          <w:rFonts w:ascii="Times New Roman;Times;Serif" w:hAnsi="Times New Roman;Times;Serif"/>
          <w:b w:val="false"/>
          <w:i w:val="false"/>
          <w:caps w:val="false"/>
          <w:smallCaps w:val="false"/>
          <w:sz w:val="20"/>
        </w:rPr>
        <w:t>. An institutional review board is an independent committee of professionals and lay persons which reviews clinical research trials involving human beings and is required to adhere to guidelines issued by the FDA. The institutional review board does not report to the FDA, but its records are audited by the FDA. Its members are not appointed by the FDA. All clinical trials must be approved by an institutional review board. The institutional review board’s role is to protect the rights of the participants in the clinical trials. It approves the protocols to be used, the advertisements which we or CRO conducting the study proposes to use to recruit participants, and the form of consent which the participants will be required to sign prior to their participation in the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Clinical Trials</w:t>
      </w:r>
      <w:r>
        <w:rPr>
          <w:rFonts w:ascii="Times New Roman;Times;Serif" w:hAnsi="Times New Roman;Times;Serif"/>
          <w:b w:val="false"/>
          <w:i w:val="false"/>
          <w:caps w:val="false"/>
          <w:smallCaps w:val="false"/>
          <w:sz w:val="20"/>
        </w:rPr>
        <w:t>. Human clinical trials or testing of a potential product are generally done in three stages known as Phase 1 through Phase 3 testing. The names of the phases are derived from the regulations of the FDA. Generally, there are multiple trials conducted in each phase.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1</w:t>
      </w:r>
      <w:r>
        <w:rPr>
          <w:rFonts w:ascii="Times New Roman;Times;Serif" w:hAnsi="Times New Roman;Times;Serif"/>
          <w:b w:val="false"/>
          <w:i w:val="false"/>
          <w:caps w:val="false"/>
          <w:smallCaps w:val="false"/>
          <w:sz w:val="20"/>
        </w:rPr>
        <w:t>. Phase 1 trials involve testing a drug or product on a limited number of healthy or patient participants, typically 24 to 100 people at a time. Phase 1 trials determine a product’s basic safety and how the product is absorbed by, and eliminated from, the body. This phase lasts an average of six months to a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2</w:t>
      </w:r>
      <w:r>
        <w:rPr>
          <w:rFonts w:ascii="Times New Roman;Times;Serif" w:hAnsi="Times New Roman;Times;Serif"/>
          <w:b w:val="false"/>
          <w:i w:val="false"/>
          <w:caps w:val="false"/>
          <w:smallCaps w:val="false"/>
          <w:sz w:val="20"/>
        </w:rPr>
        <w:t>. Phase 2 trials involve testing of no more than 300 participants at a time who may suffer from the targeted disease or condition. Phase 2 testing typically lasts an average of one to two years. In Phase 2, the drug is tested to determine its safety and effectiveness for treating a specific illness or condition. Phase 2 testing also involves determining acceptable dosage levels of the drug. Phase 2 trials may be split into Phase 2a and Phase 2b sub-trials. Phase 2a trials may be conducted with patient volunteers and are exploratory (non-pivotal) trials, typically designed to evaluate clinical efficacy or biological activity. Phase 2b trials are conducted with patients defined to evaluate definite dose range and evaluate efficacy. If Phase 2 trials show that a new drug has an acceptable range of safety risks and probable effectiveness, a company will generally continue to review the substance in Phase 3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3</w:t>
      </w:r>
      <w:r>
        <w:rPr>
          <w:rFonts w:ascii="Times New Roman;Times;Serif" w:hAnsi="Times New Roman;Times;Serif"/>
          <w:b w:val="false"/>
          <w:i w:val="false"/>
          <w:caps w:val="false"/>
          <w:smallCaps w:val="false"/>
          <w:sz w:val="20"/>
        </w:rPr>
        <w:t>. Phase 3 trials involve testing large numbers of participants, typically several hundred to several thousand persons. The purpose is to verify effectiveness and long-term safety on a large scale. These trials generally last two to three years. Phase 3 trials are conducted at multiple locations or sites. Like the other phases, Phase 3 requires the site to keep detailed records of data collected and procedures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Biological License Application</w:t>
      </w:r>
      <w:r>
        <w:rPr>
          <w:rFonts w:ascii="Times New Roman;Times;Serif" w:hAnsi="Times New Roman;Times;Serif"/>
          <w:b w:val="false"/>
          <w:i w:val="false"/>
          <w:caps w:val="false"/>
          <w:smallCaps w:val="false"/>
          <w:sz w:val="20"/>
        </w:rPr>
        <w:t>. The results of the clinical trials for a biological product are submitted to the FDA as part of a Biological License Application or, the “BLA”. Following the completion of Phase 3 trials, assuming the sponsor of a potential product in the United States believes it has sufficient information to support the safety and effectiveness of its product, the sponsor will generally submit a BLA to the FDA requesting that the product be approved for marketing. The application is a comprehensive, multi-volume filing that includes the results of all clinical trials, information about the drug’s composition, and the sponsor’s plans for producing, packaging and labeling the product. The FDA’s review of an application can take a few months to many years, with the average review lasting 18 months. Once approved, drugs and other products may be marketed in the United States, subject to any conditions imposed by the FDA. Approval of a BLA provides 12 years of exclusivity in the U.S.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Phase 4</w:t>
      </w:r>
      <w:r>
        <w:rPr>
          <w:rFonts w:ascii="Times New Roman;Times;Serif" w:hAnsi="Times New Roman;Times;Serif"/>
          <w:b w:val="false"/>
          <w:i w:val="false"/>
          <w:caps w:val="false"/>
          <w:smallCaps w:val="false"/>
          <w:sz w:val="20"/>
        </w:rPr>
        <w:t>. The FDA may require that the sponsor conduct additional clinical trials following new drug approval. The purpose of these trials, known as Phase 4 trials, is to monitor long-term risks and benefits, study different dosage levels or evaluate safety and effectiveness. In recent years, the FDA has increased its reliance on these trials. Phase 4 trials usually involve thousands of participants. Phase 4 trials also may be initiated by us sponsoring the new drug to gain broader market value for an approved drug.</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European Regulation</w:t>
      </w:r>
      <w:r>
        <w:rPr>
          <w:rFonts w:ascii="Times New Roman;Times;Serif" w:hAnsi="Times New Roman;Times;Serif"/>
          <w:b w:val="false"/>
          <w:i w:val="false"/>
          <w:caps w:val="false"/>
          <w:smallCaps w:val="false"/>
          <w:sz w:val="20"/>
        </w:rPr>
        <w:t>. Similar to the U.S., a European sponsor of a biological product may submit a Marketing Approval Application to the European Medicines Agency (“EMA”), for the registration of the product. The approval process in Europe consists of several stages, which together are summed up to 210 days from the time of submission of the application (net, without periods in which the sponsor provides answers to questions raised by the agency) following which, a Marketing Approval may be granted. During the approval process, the sponsor’s manufacturing facilities will be audited in order to assess Good Manufacturing Practice compliance.</w:t>
      </w:r>
    </w:p>
    <w:p>
      <w:pPr>
        <w:pStyle w:val="TextBody"/>
        <w:bidi w:val="0"/>
        <w:spacing w:before="0" w:after="0"/>
        <w:ind w:left="0" w:right="0" w:firstLine="567"/>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drug approval process is time-consuming, involves substantial expenditures of resources, and depends upon a number of factors, including the severity of the illness in question, the availability of alternative treatments, and the risks and benefits demonstrated in the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federal, state and local laws, regulations, and recommendations relating to safe working conditions, laboratory practices, the experimental use of animals, the environment and the purchase, storage, movement, import, export, use, and disposal of hazardous or potentially hazardous substances, including radioactive compounds and infectious disease agents, used in connection with our research are applicable to our activities. They include, among others, the U.S. Atomic Energy Act, the Clean Air Act, the Clean Water Act, the Occupational Safety and Health Act, the National Environmental Policy Act, the Toxic Substances Control Act, and Resources Conservation and Recovery Act, national restrictions on technology transfer, import, export, and customs regulations, and other present and possible future local, state, or federal regulation. The compliance with these and other laws, regulations and recommendations can be time-consuming and involve substantial costs. In addition, the extent of governmental regulation which might result from future legislation or administrative action cannot be accurately predicted and may have a material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We face intense competition in pharmaceutical research and development from major pharmaceutical companies, specialized biotechnology firms, academic institutions, and governmental agencies—many with substantially greater financial, technical, and marketing resources. Competition is determined by scientific and technological capabilities, patent protection, speed to market, regulatory approval, and ability to commercialize products. These entities also compete with us for qualified scientific personnel and consultants.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diabetes treatment sector specifically, we compete against well-established and rapidly evolving therapeutic options including insulin injections, insulin pumps, oral medications that improve insulin response or production, and the increasingly dominant GLP-1 receptor agonists (both injectable and oral formulations), as well as lifestyle interventions. The widespread adoption of GLP-1s for diabetes and weight management represents significant competitive pressure. First-to-market products typically hold significant competitive advantages. Our competitive position depends on our ability to attract talent, develop effective proprietary products, obtain patent protection, and secure adequate capital. If approved, we expect our oral insulin capsule to compete primarily on efficacy, safety, patient convenience, and patent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develop superior products or achieve greater market acceptance. There can be no assurance that our technology will not be rendered obsolete or noncompetitive, or that we can keep pace with technological developments, any of which could materially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it is imperative to attract and retain top talent for all positions in the Company. We seek to make Oramed an inclusive, diverse and safe workplace, with meaningful compensation, benefits and wellness programs and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personnel involved in our research and development programs, as well as appropriate clinical/regulatory, quality assurance and other personnel needed to advance through clinical trials or have engaged the services of experts in the field for these requirements. As of December 31, 2025, we have contracted with thirteen individuals for employment or consulting arrangements. Of our staff, four are senior management, three are engaged in research and development work, and the remaining six are involved in corporate and administration 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competitive compensation, health and retirement programs for our employees. We offer variable pay in the form of bonuses and stock-based compensation for eligible employees. We also provide our employees with additional benefits such as team-building and educational offsite activities and gym facilities. We believe that this provides a comprehensive package to engage, motivate and retain our employees as a cohesive unit unified in its goal to achieve the Company’s strategy and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about us is contained on our Internet website at www.oramed.com. Information on our website is not incorporated by reference into this report. Our Annual Reports on Form 10-K, Quarterly Reports on Form 10-Q, Current Reports on Form 8-K, and amendments to those reports filed or furnished pursuant to Section 13(a) of the Securities Exchange Act of 1934, as amended, or the Exchange Act, are available free of charge on our website under “SEC Filings” as soon as reasonably practicable after we electronically file such material with, or furnish it to, the SEC. Reports filed with the SEC are made available on its website at www.sec.gov and are also available on the website of the Israeli Securities Authority at www.magna.isa.gov.il or on the website of the Tel Aviv Stock Exchange at www.tase.co.il. The following corporate governance documents are also posted on our website: Code of Ethics, Whistleblowing Policy and the charters for each of the Audit Committee, Compensation Committee and Nominating Committee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1A. RISK FACTORS.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investment in our securities involves a high degree of risk. You should consider carefully the following information about these risks, together with the other information contained in this Annual Report on Form 10-K before making an investment decision. Our business, prospects, financial condition and results of operations may be materially and adversely affected as a result of any of the following risks. The value of our securities could decline as a result of any of these risks. You could lose all or part of your investment in our securities. Some of the statements in this “Item 1A. Risk Factors” are forward-looking statements. The following risk factors are not the only risk factors facing the Company. Additional risks and uncertainties not presently known to us or that we currently deem immaterial may also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05"/>
        <w:gridCol w:w="200"/>
        <w:gridCol w:w="50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strategic review process may not be successful or timely.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If we are successful in completing a strategic transaction, we may be exposed to other operational and financial risks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consummate a strategic transaction depends on our ability to retain our employees required to consummate such transaction.</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involved in securities and stockholder litigation that could divert management’s attention and harm the Company’s business, and insurance coverage may not be sufficient to cover all costs and damages.</w:t>
            </w:r>
          </w:p>
        </w:tc>
      </w:tr>
    </w:tbl>
    <w:p>
      <w:pPr>
        <w:pStyle w:val="TextBody"/>
        <w:bidi w:val="0"/>
        <w:spacing w:before="0" w:after="283"/>
        <w:jc w:val="left"/>
        <w:rPr/>
      </w:pPr>
      <w:r>
        <w:rPr/>
        <w:t> </w:t>
      </w:r>
    </w:p>
    <w:tbl>
      <w:tblPr>
        <w:tblW w:w="7210" w:type="dxa"/>
        <w:jc w:val="left"/>
        <w:tblInd w:w="0" w:type="dxa"/>
        <w:tblLayout w:type="fixed"/>
        <w:tblCellMar>
          <w:top w:w="0" w:type="dxa"/>
          <w:left w:w="0" w:type="dxa"/>
          <w:bottom w:w="0" w:type="dxa"/>
          <w:right w:w="0" w:type="dxa"/>
        </w:tblCellMar>
      </w:tblPr>
      <w:tblGrid>
        <w:gridCol w:w="105"/>
        <w:gridCol w:w="200"/>
        <w:gridCol w:w="69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and may not be able to sustain profitability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05"/>
        <w:gridCol w:w="200"/>
        <w:gridCol w:w="7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have a history of losses and can provide no assurance as to our future operating results.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rely upon patents to protect our technology and we may be unable to protect our intellectual property rights and we may be liable for infringing the intellectual property rights of others.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we succeed in commencing a new clinical trial for our oral insulin capsule, there are a variety of risks and uncertainties related to its development.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limited experience in conducting clinical trials and our clinical trials may encounter delays, suspensions or other problems.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Initial success in the completed and ongoing early-stage clinical trials does not ensure success in later stage trials, regulatory approval or commercial viability of a product.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can provide no assurance that our products will obtain regulatory approval or that the results of clinical trials will be favorable.</w:t>
            </w:r>
          </w:p>
        </w:tc>
      </w:tr>
    </w:tbl>
    <w:p>
      <w:pPr>
        <w:pStyle w:val="TextBody"/>
        <w:bidi w:val="0"/>
        <w:spacing w:before="0" w:after="283"/>
        <w:jc w:val="left"/>
        <w:rPr/>
      </w:pPr>
      <w:r>
        <w:rPr/>
        <w:t> </w:t>
      </w:r>
    </w:p>
    <w:tbl>
      <w:tblPr>
        <w:tblW w:w="7450" w:type="dxa"/>
        <w:jc w:val="left"/>
        <w:tblInd w:w="0" w:type="dxa"/>
        <w:tblLayout w:type="fixed"/>
        <w:tblCellMar>
          <w:top w:w="0" w:type="dxa"/>
          <w:left w:w="0" w:type="dxa"/>
          <w:bottom w:w="0" w:type="dxa"/>
          <w:right w:w="0" w:type="dxa"/>
        </w:tblCellMar>
      </w:tblPr>
      <w:tblGrid>
        <w:gridCol w:w="105"/>
        <w:gridCol w:w="200"/>
        <w:gridCol w:w="71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dependent upon third party suppliers of our raw materials and for other services.</w:t>
            </w:r>
          </w:p>
        </w:tc>
      </w:tr>
    </w:tbl>
    <w:p>
      <w:pPr>
        <w:pStyle w:val="TextBody"/>
        <w:bidi w:val="0"/>
        <w:spacing w:before="0" w:after="0"/>
        <w:ind w:left="0" w:right="0" w:hanging="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105"/>
        <w:gridCol w:w="200"/>
        <w:gridCol w:w="69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realize a return on our investments in marketable securities that we own.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may from time to time maintain a significant percentage of our assets in cash and/or securities, we may in the future be deemed to be an investment company under the Investment Company Act of 1940 resulting in additional costs and regulatory burdens.</w:t>
            </w:r>
          </w:p>
        </w:tc>
      </w:tr>
    </w:tbl>
    <w:p>
      <w:pPr>
        <w:pStyle w:val="TextBody"/>
        <w:bidi w:val="0"/>
        <w:spacing w:before="0" w:after="0"/>
        <w:ind w:left="0" w:right="0" w:hanging="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105"/>
        <w:gridCol w:w="200"/>
        <w:gridCol w:w="7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realize the full benefit from our distribution license agreement with Medicox.</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We are highly dependent upon our ability to enter into agreements with collaborative partners to develop, commercialize and market our products.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biotechnology and biopharmaceutical industries are characterized by rapid technological developments and a high degree of competition. We may be unable to compete with more substantial enterprises.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2"/>
        <w:gridCol w:w="270"/>
        <w:gridCol w:w="9843"/>
      </w:tblGrid>
      <w:tr>
        <w:trPr/>
        <w:tc>
          <w:tcPr>
            <w:tcW w:w="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w:t>
            </w:r>
          </w:p>
        </w:tc>
        <w:tc>
          <w:tcPr>
            <w:tcW w:w="98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position or results could be negatively affected by product liability claims.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11"/>
        <w:gridCol w:w="9923"/>
      </w:tblGrid>
      <w:tr>
        <w:trPr/>
        <w:tc>
          <w:tcPr>
            <w:tcW w:w="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limited senior management resources and may be required to obtain more resources to manage our growth.</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depend upon our senior management and skilled personnel and their loss or unavailability could put us at a competitive disadvantage.</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existing and any future joint ventures may limit our flexibility with jointly owned investments and we may not realize the benefits we expect from these arrangements.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interest rates could reduce our ability to generate income on our loans and other investments, which could lead to a significant decrease in our results of operations, cash flows and the market value of our investments.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Healthcare policy changes, including pending legislation recently adopted and further proposals still pending to reform the U.S. healthcare system, may harm our future business.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399"/>
        <w:gridCol w:w="9671"/>
      </w:tblGrid>
      <w:tr>
        <w:trPr/>
        <w:tc>
          <w:tcPr>
            <w:tcW w:w="13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both"/>
              <w:rPr/>
            </w:pPr>
            <w:r>
              <w:rPr/>
              <w:t>●</w:t>
            </w:r>
          </w:p>
        </w:tc>
        <w:tc>
          <w:tcPr>
            <w:tcW w:w="96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fluctuations in currency exchange rates.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various real estate investments involve significant risks and might not provide long-term value appreciation and potential income streams that we expect to receive.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lent a substantial amount of funds to Scilex. In the event that Scilex is unable to service its obligations under the Note and defaults on such Note, it could have a material adverse effect on our business.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If Alpha Tau fails to achieve positive clinical results or obtain regulatory approvals, the value of our investment could decline materially, which may adversely affect our financial results.  </w:t>
            </w:r>
          </w:p>
        </w:tc>
      </w:tr>
    </w:tbl>
    <w:p>
      <w:pPr>
        <w:pStyle w:val="TextBody"/>
        <w:bidi w:val="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value of our investment into Lifeward may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hanging="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105"/>
        <w:gridCol w:w="200"/>
        <w:gridCol w:w="82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of our common stock by our existing stockholders could adversely affect our stock price.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failure to maintain compliance with the Nasdaq Capital Market’s continued listing requirements could result in the delisting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the market price of our common stock may fluctuate significantly, this may make it difficult for you to sell your shares of common stock when you want or at prices you find attractive.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of common stock or the issuance of securities senior to our common stock or convertible into, or exchangeable or exercisable for, our common stock could materially adversely affect the trading price of our common stock, and our ability to raise funds in new equity offerings.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3"/>
        <w:gridCol w:w="9933"/>
      </w:tblGrid>
      <w:tr>
        <w:trPr/>
        <w:tc>
          <w:tcPr>
            <w:tcW w:w="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pPr>
            <w:r>
              <w:rPr/>
              <w:t>●</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stockholders may experience significant dilution as a result of any additional financing using our equity securities.</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Conducting Business in Israel</w:t>
      </w:r>
    </w:p>
    <w:p>
      <w:pPr>
        <w:pStyle w:val="TextBody"/>
        <w:bidi w:val="0"/>
        <w:spacing w:before="0" w:after="0"/>
        <w:ind w:left="720" w:right="0" w:hanging="36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105"/>
        <w:gridCol w:w="200"/>
        <w:gridCol w:w="74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affected by the political, economic and military risks of having operations in Israel.</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may be difficult to enforce a U.S. judgment against us or our officers and directors and to assert U.S. securities laws claims in Israel.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105"/>
        <w:gridCol w:w="200"/>
        <w:gridCol w:w="61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to tax laws could have a negative effect on us or our stockholders.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and operations would suffer in the event of computer system failures, cyber-attacks or deficiencies in our cyber-security.</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35"/>
        <w:gridCol w:w="9891"/>
      </w:tblGrid>
      <w:tr>
        <w:trPr/>
        <w:tc>
          <w:tcPr>
            <w:tcW w:w="7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both"/>
              <w:rPr/>
            </w:pPr>
            <w:r>
              <w:rPr/>
              <w:t>●</w:t>
            </w:r>
          </w:p>
        </w:tc>
        <w:tc>
          <w:tcPr>
            <w:tcW w:w="98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management will have significant flexibility in using the net proceeds of any offering of securities.</w:t>
            </w:r>
          </w:p>
        </w:tc>
      </w:tr>
    </w:tbl>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could discourage a change in control, or an acquisition of us by a third party, even if the acquisition would be favorable to you, and thereby adversely affect existing stockholders.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strategic review process may not be successful or timely.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January 2023 results indicating that the ORA-D-013-1 Phase 3 trial did not meet its primary or secondary endpoints, we conducted a comprehensive analysis of the data to understand if there is a path forward for our oral insulin candidate. Concurrently, we are examining our existing pipeline and have commenced an evaluation process of potential strategic opportunities, including among others, continuation as a stand-alone business, capital raises, or one or more acquisitions, mergers or business combinations or other strategic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devoting significant efforts to identify and evaluate potential strategic alternatives, there can be no assurance that our strategic review process will result in us pursuing any transaction or that any transaction, if pursued, will be completed on attractive terms or at all. Additionally, there can be no assurances that any particular course of action, business arrangement or transaction, or series of transactions, will be pursued, successfully consummated, or lead to any stockholder value.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The process of reviewing alternative strategic paths may be time consuming, may involve the dedication of significant resources and may require us to incur significant costs and expenses. It could negatively impact our ability to attract, retain and motivate employees, and expose us to potential litigation in connection with this process or any resulting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successful in setting forth a new strategic path for the Company, or if our plans are not executed in a timely fashion, this may cause reputational harm with our stockholders and other stakeholders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 There can be no guarantee that the process of evaluating alternative strategic paths will result in our entering into or completing potential transactions within the anticipated timing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we are successful in completing a strategic transaction, we may be exposed to other operational and financial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can be no assurance that a strategic transaction will result from the strategic review process we have undertaken to identify and evaluate strategic alternatives, the negotiation and consummation of any such transaction will require significant time on the part of our management and may disrupt our business. The negotiation and consummation of any such transaction may also require more time or greater cash resources than we anticipate and expose us to other operational and financial risks, including: increased near-term and long-term expenditures; exposure to unknown liabilities; higher than expected acquisition or integration costs; incurrence of substantial debt or dilutive issuances of equity securities to fund future operations; write-downs of assets or goodwill or incurrence of non-recurring, impairment or other charges; increased amortization expenses; impairment of relationships with key suppliers of any acquired business due to changes in management and ownership; inability to retain our key employees; and possibility of future litigation. Any of the above risks could have a material adverse effect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ability to consummate a strategic transaction depends on our ability to retain our employees required to consummate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consummate a strategic transaction depends upon our ability to retain our employees required to consummate such a transaction, the loss of whose services may adversely impact the ability to consummate such transaction. Our cash conservation activities may yield unintended consequences, such as attrition and reduced employee morale, which may cause remaining employees to seek alternative employment. Our ability to successfully complete a strategic transaction depends in large part on our ability to retain certain of our remaining personnel. If we are unable to successfully retain our remaining personnel, we are at risk of a disruption to our exploration and consummation of a strategic alternative as well as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become involved in securities and stockholder litigation that could divert management’s attention and harm the Company’s business, and insurance coverage may not be sufficient to cover all costs and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securities and stockholder litigation has often followed certain significant business transactions, such as the sale of a company or announcement of any other strategic transaction, or the announcement of negative events, such as negative results from clinical trials. The market price of our common stock dropped substantially when we announced the results of the ORA-D-013-1 Phase 3 trial.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may not be able to sustain profitability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evaluation and completion of our remaining development programs and our transition to normal operations are dependent upon obtaining necessary regulatory approvals from the FDA prior to selling our products within the United States, and foreign regulatory approvals must be obtained to sell our products internationally. There can be no assurance that we will receive regulatory approval of any of our product candidates, and a substantial amount of time may pass before we achieve a level of revenues adequate to support our operations. We expect to incur substantial expenditures in connection with our research and development programs, which will be conducted through OraTech, our strategic evaluation process, as well as the regulatory approval process with FDA and other agencies for each of our current or future product candidates during their respective developmental periods. Obtaining marketing approval will be directly dependent on our ability to implement the necessary regulatory steps required to obtain marketing approval in the United States and in other countries. We cannot predict the outcome of these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cash resources and commitments, we believe we will be able to maintain our current planned activities and the corresponding level of expenditures for at least the next 12 months, although no assurance can be given that we will not need additional funds prior to such time. If there are unexpected increases in our operating expenses, we may need to seek additional financing during the next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need substantial additional capital in order to satisfy our business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principally through offerings of securities and we may require substantial additional financing at various intervals in order to implement any potential strategic alternative, to continue our remaining or potential future research and development programs, including significant requirements for operating expenses including intellectual property protection and enforcement, for pursuit of regulatory approvals, and for commercialization of our remaining or future products. We can provide no assurance that additional funding will be available on a timely basis, on terms acceptable to us, or at all. In the event that we are unable to obtain such financing, we may not be able to implement the actions we decide to take as part of our strategic review process, and we will not be able to fully develop and commercialize our technology or pursue new technology. Our future capital requirements will depend upon many factors, including:</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05"/>
        <w:gridCol w:w="200"/>
        <w:gridCol w:w="7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results of our strategic review process and any new strategic direction we decide to take;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19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continued scientific progress in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105"/>
        <w:gridCol w:w="200"/>
        <w:gridCol w:w="85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and timing of conducting clinical trials and seeking regulatory approvals and patent prosecutions;</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competing technological and market developments;</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05"/>
        <w:gridCol w:w="200"/>
        <w:gridCol w:w="5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additional collaborative relationships; and</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05"/>
        <w:gridCol w:w="200"/>
        <w:gridCol w:w="6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effects of commercialization activities and facility expansions if and as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If we cannot secure adequate financing when needed, we may be required to delay, scale back or eliminate one or more of our existing or planned courses of action or research and development programs, or to enter into license or other arrangements with third parties to commercialize products or technologies that we would otherwise seek to develop ourselves and commercialize ourselves. In such event, our business, prospects, financial condition and results of operations may be adversely affected as we may be required to scale-back, eliminate, or delay development efforts or product introductions or enter into royalty, sales or other agreements with third parties in order to commercialize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a history of losses and can provide no assurance as to our future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sufficient revenues from our research and development activities to fully support our operations. Consequently, we have incurred net losses since inception. We currently have only licensing revenues and no product revenues, and may not succeed in developing or commercializing any products which could generate product revenues. We do not expect to have any products on the market for several years. In addition, development of our product candidates requires a process of pre-clinical and clinical testing, during which our products could fail. For example, in January 2023, the ORA-D-013-1 Phase 3 trial did not meet its primary or secondary endpoints. We may not be able to enter into agreements with one or more companies experienced in the manufacturing and marketing of therapeutic drugs and, to the extent that we are unable to do so, we will not be able to market our product candidates. Eventual profitability will depend on our success in developing, manufacturing, and marketing our product candidates or in pursuing a successful strategic alternative. As of December 31, 2025 and 2024, we had working capital of approximately $114,185,000 and approximately $137,536,000, respectively, and stockholders’ equity of approximately $199,744,000 and approximately $146,265,000, respectively. See “Item 7.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rely upon patents to protect our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 of biopharmaceutical and biotechnology firms is generally uncertain and involves complex legal and factual questions. We do not know whether any of our current or future patent applications will result in the issuance of any patents. Even issued patents may be challenged, invalidated or circumvented. Patents may not provide a competitive advantage or afford protection against competitors with similar technology. Competitors or potential competitors may have filed applications for, or may have received patents and may obtain additional and proprietary rights to compounds or processes used by or competitive with ours. In addition, laws of certain foreign countries do not protect intellectual property rights to the same extent as do the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litigation is widespread in the biopharmaceutical and biotechnology industry and we cannot predict how this will affect our efforts to form strategic alliances, conduct clinical testing or manufacture and market any products under development. If challenged, our patents may not be held valid. We could also become involved in interference proceedings in connection with one or more of our patents or patent applications to determine priority of invention. If we become involved in any litigation, interference or other administrative proceedings, we will likely incur substantial expenses and the efforts of our technical and management personnel will be significantly diverted. In addition, an adverse determination could subject us to significant liabilities or require us to seek licenses that may not be available on favorable terms, if at all. We may be restricted or prevented from manufacturing and selling our products in the event of an adverse determination in a judicial or administrative proceeding or if we fail to obtain necessary licenses.</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20</w:t>
      </w:r>
    </w:p>
    <w:p>
      <w:pPr>
        <w:pStyle w:val="TextBody"/>
        <w:bidi w:val="0"/>
        <w:spacing w:before="0" w:after="0"/>
        <w:jc w:val="center"/>
        <w:rPr/>
      </w:pPr>
      <w:r>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be unable to protect our intellectual property rights and we may be liable for infringing the intellectual property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effectively will depend on our ability to maintain the proprietary nature of our technologies. We currently hold several pending patent applications in the United States, Canada, Brazil, Europe, India, Hong Kong, Japan and China for our technologies covering oral administration of insulin and other proteins and oral administration of exenatide and proteins and 141 patents issued by the United States and various other countries’ patent offices that cover a part of our technology, which allows for the oral delivery of proteins; patents issued by various patent offices that cover part of our technology for the oral delivery of exenatide; and patents issued by patent offices for treating diabetes. Further, we rely on a combination of trade secrets and non-disclosure and other contractual agreements and technical measures to protect our rights in our technology. We depend upon confidentiality agreements with our officers, directors, employees, consultants, and subcontractors, as well as collaborative partners, to maintain the proprietary nature of our technology. These measures may not afford us sufficient or complete protection, and others may independently develop technology similar to ours, otherwise avoid our confidentiality agreements, or produce patents that would materially and adversely affect our business, prospects, financial condition and results of operations. We believe that our technology is not subject to any infringement actions based upon the patents of any third parties; however, our technology may in the future be found to infringe upon the rights of others. Others may assert infringement claims against us or against companies to which we have licensed our technology, and if we should be found to infringe upon their patents, or otherwise impermissibly utilize their intellectual property, our ability to continue to use our technology could be materially restricted or prohibited. If this event occurs, we may be required to obtain licenses from the holders of this intellectual property, enter into royalty agreements, or redesign our products so as not to utilize this intellectual property, each of which may prove to be uneconomical or otherwise impossible. Licenses or royalty agreements required in order for us to use this technology may not be available on terms acceptable to us, or at all. These claims could result in litigation, which could materially adversely affect our business, prospects, financial condition and results of operations. Further, we may need to indemnify companies to which we licensed our technology in the event that such technology is found to infringe upon the rights of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Our commercial success will also depend significantly on our ability to operate without infringing the patents and other proprietary rights of third parties. Patent applications are, in many cases, maintained in secrecy until patents are issued. The publication of discoveries in the scientific or patent literature frequently occurs substantially later than the date on which the underlying discoveries were made and patent applications are filed. In the event of infringement or violation of another party’s patent, we may be prevented from pursuing product development or commercialization. See “Item 1. Business—Description of Business— Intellectual Property and 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 if we succeed in commencing a new clinical trial for our oral insulin capsule, there are a variety of risks and uncertainties related to its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2023, we announced top-line results from the phase 3 trial of our oral insulin capsule, which did not meet its primary or secondary endpoints, and indicated that we expect to discontinue oral insulin clinical activities for T2D. At present, following the results of the ORA-D-013-1 Phase 3 trial, we conducted a comprehensive analysis of the data and found that subpopulations of patients with pooled specific parameters responded well to oral insulin. Based on this analysis, we submitted a protocol for a new Phase 3 clinical trial to the FDA. Concurrently, we are examining our existing pipeline and have commenced an evaluation process of potential strategic opportunities. Even if we succeed in commencing a new clinical trial for our oral insulin capsule, there are a variety of risks and uncertainties related to its development. Principally, these risks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clinical trial results may show the same results as the ORA-D-013-1 Phase 3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clinical trial results may be inconsistent with previous preliminary testing results and data from our earlier trials may be inconsistent with clinical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our oral insulin capsule is shown to be safe and effective for its intended purposes in future clinical trials, we may face significant or unforeseen difficulties in obtaining or manufacturing sufficient quantities or at reasonable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complete the development and commercialization of the oral insulin capsule for our intended use is significantly dependent upon our ability to obtain and maintain experienced and committed partners to assist us with obtaining clinical and regulatory approvals for, and the manufacturing, marketing and distribution of, the oral insulin capsule on a worldwide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our oral insulin capsule is successfully developed, commercially produced and receives all necessary regulatory approvals, there is no guarantee that there will be market acceptance of our product;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competitors may develop therapeutics or other treatments which are superior or less costly than our own with the result that our products, even if they are successfully developed, manufactured and approved, may not generate significant 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seriously harmed if our analysis does not produce positive results, if we are unable to find a path forward to continue development of our oral insulin capsule, if we are unsuccessful in realizing new strategic opportunities or dealing with any of these risks, or if we are unable to successfully commercialize our oral insulin capsule for some other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limited experience in conducting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must meet FDA and foreign regulatory requirements. We have limited experience in designing, conducting and managing the preclinical trials and clinical trials necessary to obtain regulatory approval for our product candidates in any country. In the past, we entered into agreements with Integrium LLC and other consultants to assist us in designing, conducting and managing our various clinical trials in the United States, Europe and Israel. Any failure of a consultant to fulfill their obligations could result in significant additional costs as well as delays in designing, consulting and completing clinical trials on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clinical trials may encounter delays, suspensions or other problems.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problems in clinical trials that may cause us or the FDA or foreign regulatory agencies to delay, suspend or terminate our clinical trials at any phase. These problems could include the possibility that we may not be able to conduct clinical trials at our preferred sites, enroll a sufficient number of patients for our clinical trials at one or more sites or begin or successfully complete clinical trials in a timely fashion, if at all. For example, the rate of enrollment for our Phase 1 clinical trial for our oral COVID-19 vaccine in South Africa was slower than anticipated due to several factors, including the fact that many volunteers did not qualify during screening due to prior asymptomatic COVID-19 infection and other conditions, and as a result we had to add an additional clinical site. In addition, clinical trials conducted by third parties are not controlled by us and such third parties may conduct these trials in a manner in which we disagree or which may prove to be unsuccessful. Furthermore, we, the FDA or foreign regulatory agencies may suspend clinical trials at any time if we or they believe the subjects participating in the trials are being exposed to unacceptable health risks or if we or they find deficiencies in the clinical trial process or conduct of the investigation.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clinical trials of any of the product candidates fail, we will not be able to market the product candidate which is the subject of the failed clinical trials. The FDA and foreign regulatory agencies could also require additional clinical trials, which would result in increased costs and significant development delays. Our failure to adequately demonstrate the safety and effectiveness of a pharmaceutical product candidate under development could delay or prevent regulatory approval of the product candidate and could have a material adverse effect on our business, prospects, financial condition and results of operations. For example, see “Item 1. Business—Description of Business— Research and Development” regarding the results of the ORA-D-013-1 Phase 3 trial that did not meet its primary or secondary endpoints. We may experience delays in site initiation and patient enrollment, failures to comply with study protocols, delays in the manufacture of our product candidates for clinical testing and other difficulties in starting or completing our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success in the completed and ongoing early-stage clinical trials does not ensure success in later stage trials, regulatory approval or commercial viability of a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Any of our product’s failure to show sufficient efficacy in patients with the targeted indication, or if such studies are discontinued for any other reason, could negatively impact our development and commercialization goals for these products and our stock price could decline. Many companies in the biopharmaceutical industry have suffered significant setbacks in advanced clinical trials due to lack of efficacy or adverse safety profiles, notwithstanding promising results in earlier trials. As a result, preliminary and interim data should be viewed with caution until the final data are available. We have invested in clinical studies of medicines that have not met the primary clinical endpoints in their Phase 3 studies or have been discontinued for other reasons. For example, in January 2023, we reported that ORA-D-013-1 trial did not meet its primary or secondary endpoint. Even if later stage clinical trials are successful, regulatory authorities may delay or decline approval of our product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factors that could cause a clinical study to fail or be delayed, including: (i) the clinical study may produce negative or inconclusive results; (ii) regulators may require that we hold, suspend or terminate clinical research for noncompliance with regulatory requirements; (iii) we, our partners, the FDA or foreign regulatory authorities could suspend or terminate a clinical study due to adverse side effects of a product on subjects or lack of efficacy in the trial; (iv) we, or our partners, may decide, or regulators may require us, to conduct additional preclinical testing or clinical studies; (v) change in rates of enrollment and dropout among clinical trial participants; (vi) differences in the size and type of the patient populations; (vii) changes in and adherence to the dosing regimen and other clinical trial protocols; and (viii) people who enroll in the clinical study may later drop out due to adverse events, a perception they are not benefiting from participating in the study, fatigue with the clinical study process or personal or other issues. The occurrence of any of these events could result in significant costs and expense, have an adverse effect on our business, financial condition and results of operations and/or cause our stock price to decline or experience periods of volatility.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can provide no assurance that our products will obtain regulatory approval or that the results of clinical trials will be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marketing and manufacturing of any of our products will require the approval of the FDA or regulatory agencies of other countries. We cannot predict with any certainty the amount of time necessary to obtain regulatory approvals, including from the FDA or other foreign regulatory authorities, and whether any such approvals will ultimately be granted. In any event, review and approval by the regulatory bodies is anticipated to take a number of years. Preclinical and clinical trials may reveal that one or more of our products are ineffective or unsafe, in which event further development of such products could be seriously delayed or terminated. For example, in January 2023, we announced that our ORA-D-013-1 Phase 3 trial did not meet its primary or secondary endpoints. As a result, we decided to terminate our ORA-D-013-2 Phase 3 trial, conducted a comprehensive analysis of the data and found that subpopulations of patients with pooled specific parameters, responded well to oral insulin. Based on this analysis, we submitted a protocol for a new Phase 3 clinical trial to the FDA. Moreover, obtaining approval for certain products may require the testing on human subjects of substances whose effects on humans are not fully understood or documented. Delays in obtaining necessary regulatory approvals of any proposed product and failure to receive such approvals would have an adverse effect on the product’s potential commercial success and on our business, prospects, financial condition and results of operations. In addition, it is possible that a product may be found to be ineffective or unsafe due to conditions or facts which arise after development has been completed and regulatory approvals have been obtained. In this event we may be required to withdraw such product from the market. See “Item 1. Business—Description of Business—Government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dependent upon third party suppliers of our raw materials and for other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outside vendors for our entire supply of the oral insulin capsules and do not currently have any long-term agreements in place for the supply of oral insulin capsules, which is still necessary if we decide to continue development of these projects. While we believe that there are numerous sources of supply available, if the third party suppliers were to cease production, or otherwise fail to supply us with quality raw materials in sufficient quantities on a timely basis and we were unable to contract on acceptable terms for these services with alternative suppliers, our ability to produce our products and to conduct testing and clinical trials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suppliers, vendors, outsourcing partners, alliance partners and other third parties to research, develop, manufacture, commercialize, co-promote and sell our products, manage certain marketing, IT, data and other business unit and functional services and meet their contractual, regulatory and other obligations. Using these third parties poses a number of risks, such as: (i) they may not perform to our standards or legal requirements, for example, in relation to the outsourcing of significant clinical development activities for innovative medicines to some CROs; (ii) they may not produce reliable products; (iii) they may not perform in a timely manner; (iv) they may not maintain confidentiality of our proprietary information; (v) they may incur a significant cyberattack or business disruption; (vi) they may be subject to government orders or mandates that require them to give priority to the government and set aside pre-existing commercial orders; (vii) disputes may arise with respect to ownership of rights to technology developed with our partners; and (viii) disagreements could cause delays in, or termination of, the research, development or commercialization of the product or result in litigation or arbitration. The failure of any critical third party to meet its obligations; to adequately deploy business continuity plans in the event of a crisis; and/or to satisfactorily resolve significant disagreements with us or address other factors, could have a material adverse impact on our operations and results. In addition, if these third parties violate, or are alleged to have violated, any laws or regulations, including the local pharmaceutical code, the U.S. Foreign Corrupt Practice Act of 1977, the U.K. Bribery Act of 2010, the EU’s General Data Protection Regulations, and other similar laws and regulations, during the performance of their obligations for us, we could suffer financial and reputational harm or other negative outcomes, including possible legal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realize a return on the shares of DNA, Entera, Nano, Alpha Tau and Pelthos that we 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DNA’s ordinary shares are traded on the Tel Aviv Stock Exchange and Entera’s ordinary shares, and Alpha Tau’s ordinary shares, Lifeward’s ordinary shares. Nano’s common stock and Pelthos’s common stock are traded on the Nasdaq Stock Market, which are subject to market fluctuations. In addition, the shares of DNA, Entera, Alpha Tau, Nano and Pelthos have historically experienced relatively low trading volume. As a result, there is no guarantee that we will be able to resell those shares at the prevailing market prices or that we will realize a positive return on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we may from time to time maintain a significant percentage of our assets in cash and/or securities, we may in the future be deemed to be an investment company under the Investment Company Act of 1940 resulting in additional costs and regulatory burdens.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believe that either we are not within the definition of “Investment Company” as the term is defined under the Investment Company Act of 1940, or the 1940 Act, or, alternatively, we may rely on one or more of the 1940 Act’s exemptions. As of December 31, 2025, we held approximately 0.2% of DNA’s outstanding ordinary shares, approximately 0.26% of Entera’s outstanding ordinary shares, approximately 2.58% of Nano’s outstanding ordinary shares, approximately 4.9% of Pelthos’s outstanding ordinary shares and approximately 17% of Alpha Tau’s outstanding ordinary shares, in addition we received warrants to purchase up to 3,237,000 ordinary shares of Alpha Tau. Further, we hold the Tranche A Note and Tranche B Note and in consideration of deferring Scilex’s first amortization payment under the Tranche B Note to October 8, 2026, We have also investments in real estate and real estate lending transactions as described elsewhere in this Annual Report. In order not to be regulated as an investment company under the 1940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to conduct our operations and ongoing investments into DNA, Entera, Nano, Pelthos, Alpha Tau, Lifeward and Scilex and our real estate transaction in a manner that will exempt us from the registration requirements of the 1940 Act. If we were to be deemed to be an investment company because of our investments, we would be required to register as an investment company under the 1940 Act. Alternatively, to continue qualifying for the exemption, we could be required to dispose of the securities holdings or other investments, which could have a material adverse effect on our business, results of operations and financial condition. The 1940 Act places significant restrictions on the capital structure and corporate governance of a registered investment company and materially restricts its ability to conduct transactions with affiliates. Compliance with the 1940 Act could also increase our operating costs. Such changes could have a material adverse effect on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may not realize the full benefit from our distribution license agreement with Medicox.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2022, we entered into a distribution license agreement or, the “Medicox License Agreement” with Medicox Co., Ltd. or Medicox. The Medicox License Agreement grants Medicox an exclusive license to apply for regulatory approval and distribute ORMD-0801 in the Republic of Korea. Our distribution license agreement with Medicox provides that Medicox will comply with agreed distribution targets and will purchase ORMD-0801 at an agreed upon transfer price per capsule and pay us up to $15,000,000 in developmental milestones, $2,000,000 of which have already been received by us. If we are not successful in finding a mutually agreed way to continue our collaboration following the results of the ORA-D-013-1 Phase 3 trial, or if Medicox is not successful in independently advancing the oral insulin candidate, we may not realize the benefits from this collaboration.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highly dependent upon our ability to enter into agreements with collaborative partners to develop, commercialize and market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long-term strategy is to ultimately seek a strategic commercial partner, or partners, such as large pharmaceutical companies, with extensive experience in the development, commercialization, and marketing of insulin applications and/or other orally digestible drugs. Such planned strategic partnership, or partnerships, may provide a marketing and sales infrastructure for our products as well as financial and operational support for global clinical trials, post marketing trials, label expansions and other regulatory requirements concerning future clinical development in the United States and elsewhere. We currently lack the resources to manufacture any of our product candidates on a large scale and we have no sales, marketing or distribution capabilities. In the event we are not able to enter into a collaborative agreement with a partner, or partners, on commercially reasonable terms, or at all, we may be unable to commercialize our products, which would have a material adverse effect upon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biotechnology and biopharmaceutical industries are characterized by rapid technological developments and a high degree of competition. We may be unable to compete with more substantial enterprises.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biopharmaceutical industries are characterized by rapid technological developments and a high degree of competition. As a result, our products could become obsolete before we recoup any portion of our related research and development and commercialization expenses. These industries are highly competitive, and this competition comes both from biotechnology firms and from major pharmaceutical and chemical companies. Many of these companies have substantially greater financial, marketing and human resources than we do (including, in some cases, substantially greater experience in clinical testing, manufacturing and marketing of pharmaceutical products). We also experience competition in the development of our products from universities and other research institutions and compete with others in acquiring technology from such universities and institutions. We face the risk that new market entrants and existing competition may try to replicate our business model or introduce a more innovative offering that renders our services less competitive or obsolete. In addition, our research and development efforts may target diseases and conditions for which there are existing therapies or therapies that are being developed by our competitors. Further, any products resulting from our research and development efforts might not be able to compete successfully with others’ existing and future products. See “Item 1. Business—Description of Business—Competition.”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financial position or results could be negatively affected by product liability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will be responsible for potential product liability stemming from product research, development or manufacturing and may face an even greater risk if any product candidate that we develop is commercialized. If we cannot successfully defend ourselves against claims that products we develop independently or with our partners caused injuries, we could incur substantial liabilities. Regardless of the merit or eventual outcome of such claims, any liability claims may result in, among other things, decreased demand for any product that we may develop, loss of revenues, significant time and costs to defend the related litigation, initiation of investigations by regulators and injury to our reputation and significant negative media attention. On occasion, large judgments have been awarded in class action lawsuits based on drugs or medical treatments that had unanticipated adverse effects. Our clinical trials are covered by liability insurance, but notwithstanding such coverage, our financial position or results could be negatively affected by product liability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limited senior management resources and may be required to obtain more resources to manage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expansion of our business, as well as the activities we take as a result of our strategic review process, to place a significant strain on our limited managerial, operational and financial resources. We will be required to expand our operational and financial systems significantly and to expand, train and manage our work force in order to manage the expansion of our operations. Our failure to fully integrate our new employees into our operations could have a material adverse effect on our business, prospects, financial condition and results of operations.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our business, prospects, financial condition and results of operations will be materially adversely affected. See “Item 7. Management’s Discussion and Analysis of Financial Condition and Results of Operations,” “Item 1. Business—Description of Business—Employees.”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depend upon our senior management and skilled personnel and their loss or unavailability could put us at a competitive disadvantage.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depend upon the efforts and abilities of our senior executives, as well as the services of several key consultants and other key personnel, including Dr. Miriam Kidron, our Chief Scientific Officer. The loss or unavailability of the services of any of these individuals for any significant period of time could have a material adverse effect on our business, prospects, financial condition and results of operations. We do not maintain “key man” life insurance policies for any of our senior executives. In addition, recruiting and retaining qualified scientific personnel to perform future research and development work will be critical to our success. There is currently a shortage of employees with expertise in developing, manufacturing and commercialization of products and related clinical and regulatory affairs, and this shortage is likely to continue. Competition for skilled personnel is intense and turnover rates are high. Our ability to attract and retain qualified personnel may be limited. Our inability to attract and retain qualified skilled personnel would have a material adverse effect on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existing and any future joint ventures may limit our flexibility with jointly owned investments and we may not realize the benefits we expect from these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party to certain joint ventures, and we may in the future sell or contribute additional assets or acquire, develop or recapitalize assets to or in these joint ventures or other joint ventures that we may 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participation in our existing joint ventures is subject to risks,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share approval rights over certain major decisions affecting the ownership or operation of the joint ventures and any assets owned by the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contribute additional capital in order to preserve, maintain or grow the joint ventures and their investments;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joint venture investors may have economic or other business interests or goals that are inconsistent with our business interests or goals and that could affect our ability to fully benefit from the assets owned by the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joint venture investors may be subject to different laws or regulations than us, which could create conflicts of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joint ventures may have license and other agreements with other investors, which we are not party to and have no control over;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sell our interests in, or sell additional assets to, the joint ventures or the joint ventures’ ability to sell additional interests of, or assets owned by, the joint ventures when we so desire are subject to the approval rights of the other joint venture investors under the terms of the agreements governing the joint ventures;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Disagreements with our joint venture investors could result in litigation or arbitration that could be expensive and distracting to management and could delay important decisions.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risks could have a material adverse effect on our business, financial condition and results of operations. Further, these, similar, enhanced or additional risks, including possible risks of the other joint venture investors having licensed assets to the joint venture, may apply to any future additional or amended joint ventures that we may enter into.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Healthcare policy changes, including pending legislation recently adopted and further proposals still pending to reform the U.S. healthcare system, may harm our future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costs have risen significantly over the past decade. There have been and continue to be proposals by legislators, regulators and third-party payors to keep these costs down.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2010, the federal government enacted healthcare reform legislation that has significantly impacted the pharmaceutical industry. In addition to requiring most individuals to have health insurance and establishing new regulations on health plans, this legislation requires discounts under the Medicare drug benefit program and increased rebates on drugs covered by Medicaid. In addition, the legislation imposes an annual fee, which has increased annually, on sales by branded pharmaceutical manufacturers. There can be no assurance that our business will not be materially adversely affected by these increased rebates, fees and other provisions. In addition, these and other initiatives in the United States may continue the pressure on drug pricing, especially under the Medicare and Medicaid programs, and may also increase regulatory burdens and operating costs. The announcement or adoption of any such initiative could have an adverse effect on potential revenues from any product that we may successfully develop. An expansion in government’s role in the U.S. healthcare industry may lower the future revenues for the products we are developing and adversely affect our future business, possibly materially.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2017, members of the U.S. Congress introduced legislation with the announced intention to repeal and replace major provisions of the Patient Protection and Affordable Care Act, or the ACA. In addition to those efforts, on October 12, 2017, an executive order was issued that modified certain aspects of the ACA. Following several years of litigation in the federal courts, in June 2021, the U.S. Supreme Court upheld the ACA when it dismissed a legal challenge to the ACA’s constitutionality. Further attempts to repeal or to repeal and replace the ACA may continue. In addition, various other healthcare reform proposals have also emerged at the federal and state level. We cannot predict what healthcare initiatives, if any, will be implemented at the federal or state level, or the effect any future legislation or regulation will have on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exposed to fluctuations in currency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considerable amount of our expenses are generated in dollars or in dollar-linked currencies, but a significant portion of our expenses such as some clinical trials and payroll costs are generated in other currencies such as NIS and Euro. Most of the time, our non-dollar assets are not totally offset by non-dollar liabilities. Due to the foregoing and to the fact that our financial results are measured in dollars, our results could be adversely affected as a result of a strengthening or weakening of the dollar compared to these other currencies. During the year ended December 31, 2025, the dollar depreciated in relation to the NIS, which raised the dollar cost of our Israeli based operations and adversely affected our financial results, while during the year ended December 31, 2024, the dollar increased in relation to the NIS, which reduced the dollar cost of our Israeli based operations costs. In addition, our results could also be adversely affected if we are unable to guard against currency fluctuations in the future. Although we may in the future decide to undertake foreign exchange hedging transactions to cover a portion of our foreign currency exchange exposure, we currently do not hedge our exposure to foreign currency exchange risks. These transactions, however, may not adequately protect us from future currency fluctuations and, even if they do protect us, may involve operational or financing costs we would not otherwise incur.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27</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investments in real estate may expose us to market and liquidity risks that could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investments in real estate may expose us to market and liquidity risks that could adversely affect our financial condition and results of operations. On November 7, 2024, our Board approved investments of up to $10,000,000 in real estate assets, and additional investments of up to $20,000,000 On February 13, 2025. Following such approvals, we made investments into several real estate and related projects, including investment in Rabi Binyamin Project, purchase of land in Mevaseret Zion, Israel, investment in Ruby Sapphire II, construction loan arranged by Lorimer Capital. To the extent our real estate investments are unsecured, or if the security interest provided by a caveat is challenged, delayed in enforcement, or otherwise ineffective, we may have limited or no recourse against the underlying property. As a result, such investments involve a higher degree of risk, including the potential loss of principal and any expected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addition,while we believe these investments present attractive opportunities, the real estate market is subject to fluctuations due to economic conditions, interest rate changes, and other external factors beyond our control. A downturn in the real estate market or an extended period of declining property values could negatively impact the returns on our investments. Additionally, real estate investments tend to be relatively illiquid, which may limit our ability to quickly exit or reallocate capital in response to market changes. Since our approach focuses on entrepreneurial real estate investments rather than direct property ownership or management, we are also exposed to risks associated with deal execution, market timing, and the financial health of investment partners or counterparties. If any of these risks materialize, they could adversely affect our financial position and ability to generate anticipated returns.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Alpha Tau fails to achieve positive clinical results or obtain regulatory approvals, the value of our investment could decline materially, which may adversely affect our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we invested approximately $36.9 million in Alpha Tau through the purchase of its ordinary shares. The value of this investment is subject to risks and uncertainties. Alpha Tau is a clinical-stage oncology therapeutics company, and its ability to generate value depends largely on the successful development, clinical validation, regulatory approval, and commercialization of its product candidates.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Alpha Tau fails to achieve positive clinical results demonstrating the safety and efficacy of its technologies, experiences delays or setbacks in its clinical trials, or encounters difficulties in obtaining regulatory approvals, the market value of Alpha Tau’s ordinary shares could decline significantly. Negative or inconclusive clinical data may materially harm Alpha Tau’s business prospects, financial condition, and ability to raise additional capital, any of which could result in a substantial decrease the value of our investment. In addition, our investment exposes us to risks associated with market volatility, dilution from future financings by Alpha Tau, and factors beyond our control that may affect Alpha Tau’s operations or valuation. Any decline in the value of Alpha Tau’s ordinary shares could reduce the benefits we expect from this investment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have lent a substantial amount of funds to Scilex. In the event that Scilex is unable to service its obligations under the Note and defaults on such Note, it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2023, we were issued the Tranche A Note in an aggregate principal amount of $101,875,000 by Scilex pursuant to the Scilex SPA. Interest under the Tranche A Note accrues at a fluctuating per annum interest rate equal to the sum of (1) the greater of (x) four percent (4%) and (y) Term SOFR (as defined in the Tranche A Note) and (2) eight and one half percent (8.5%), payable in-kind on a monthly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2024, we entered into an agreement to refinance a portion of the Tranche A Note and pay off certain other indebtedness of Scilex. We were issued an aggregate principal amount of $25,000,000 under the Tranche B Note and 3,750,000 Tranche B Warrants. In addition, on October 8, 2024, we entered into the RPA with Scilex to holds the right to receive 4% royalties. As of March 26, 2026, Scilex had repaid $69,200,000 of the Tranche A Note and $13,000,000 of the Tranche B Note, and the outstanding principal balances were $7,675,000 and $12,000,000,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Scilex will be able to service its repayment obligations under the Note. Although the Note is secured by a first priority security interest and liens on all of the assets of Scilex and its subsidiaries, no assurance can be made that Scilex will be able to repay the Tranche A Note and Tranche B Notes, or the Notes, when due or that we will be able to foreclose on such assets and recover enough value upon the sale of such assets to repay the amounts owed to us. In such an event, we could lose all or a substantial portion of our loan investment. Additionally, Scilex has disclosed in its periodic reports filed with the SEC that there is substantial doubt about its ability to continue as a going concern. If Scilex is unable to continue as a going concern or defaults on the Notes, we may be unable to recover some or all of the principal amount of the Note,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value of our investment into Lifeward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Lifeward Share Purchase Agreement, among other customary closing conditions, upon the closing of the OraTech Share Purchase, Lifeward issued to us a number of Lifeward Ordinary Shares and pre-funded warrants equal to 49.99% of the Lifeward’s fully diluted equity capitalization, subject to certain adjustments, as of closing. The value of this investment is subject to risks and uncertainties. Lifeward is a medical device company, and its ability to generate value depends largely on the successful development, regulatory approval, and commercialization of its products. Any decline in the value of Lifeward’s ordinary shares could reduce the benefits we expect from this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no guarantee that Lifeward will be able to service its repayment obligations under the Secured Promissory Note and the Notes issuable under the Lifeward Notes Purchase Agreement, as applicable. Although the Secured Promissory Note is secured by a lien on Lifeward’s cash and accounts receivable, and the Initial Notes are secured by a first priority security interest and liens on all of the assets of Lifeward, no assurance can be made that Lifeward will be able to repay the Secured Promissory Note or the Notes, as applicable, when due or that we will be able to foreclose on such assets and recover enough value upon the sale of such assets to repay the amounts owed to us. In such an event, we could lose all or a substantial portion of our loan investment. Additionally, Lifeward has disclosed in its periodic reports filed with the SEC that there is substantial doubt about its ability to continue as a going concern. If Lifeward is unable to continue as a going concern or defaults on the Secured Promissory Note or the Notes, we may be unable to recover some or all of the principal amount of the Secured Promissory Note or the Notes,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sales of our common stock by our existing stockholders could adversely affect our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decline as a result of sales of a large number of shares of our common stock in the market, or the perception that these sales could occur. We experienced a significant decline in the market price of our common stock and a significant increase in trading volume after announcing the results of our ORA-D-013-1 Phase 3 trial in January 2023. Any strategic decision we make as a result of our strategic review process may also negatively affect our common stock price or cause volatility in the market price of our common stock. Sales of large amounts of our securities or large variations in trading volume might make it more difficult for us to sell equity securities in the future at a time and at a price that we deem appropriate. As of March 26, 2026, we had outstanding 40,446,179 shares of common stock, a large majority of which are freely tradable. Giving effect to the exercise in full of all of our outstanding warrants, options and restricted stock units, or RSUs, including those currently unexercisable or unvested, we would have outstanding 45,887,558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29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issuance of warrants, options and RSUs to investors, employees and consultants may have a negative effect on the trading prices of our common stock as well as a dilutive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and may continue to issue warrants, options, RSUs and convertible notes at, above or below the current market price. As of March 26, 2026, we had outstanding warrants exercisable for 20,000 shares of common stock at a weighted average exercise price of $4.13 and options exercisable for 1,548,633 shares of common stock at a weighted average exercise price of $7.1. We also had outstanding RSUs for 1,707,383 shares of common stock. In addition to the dilutive effect of a large number of shares of common stock and a low exercise price for the warrants and options, there is a potential that a large number of underlying shares of common stock may be sold in the open market at any given time, which could place downward pressure on the trading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failure to maintain compliance with the Nasdaq Capital Market’s continued listing requirements could result in the delisting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In order to maintain this listing, we must satisfy minimum financial and other requirements. Nasdaq Listing Rule 5550(a)(2) requires the minimum bid price of our common stock on the Nasdaq Capital Market to remain above $1.00. If the bid price of our common stock closes below $1.00 per share for 30 consecutive business days, we would be in violation of Nasdaq Listing Rule 5550(a)(2). In accordance with Nasdaq Listing Rule 5810(c)(3)(A), we would have 180 calendar days to regain compliance with the minimum bid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intend to engage in efforts to maintain compliance, and thus maintain our listing, there can be no assurance that we will continue to meet all applicable Nasdaq Capital Market requirements in the future, especially in light of any strategic transaction we may choose to undertake. If our common stock were removed from listing with the Nasdaq Capital Market, it may be subject to the so-called “penny stock” rules. The SEC has adopted regulations that define a “penny stock” to be any equity security that has a market price per share of less than $5.00, subject to certain exceptions, such as any securities listed on a national securities exchange, which is the exception on which we currently rely. For any transaction involving a “penny stock,” unless exempt, the rules impose additional sales practice requirements on broker-dealers, subject to certain exceptions. If our common stock were delisted and determined to be a “penny stock,” a broker-dealer may find it more difficult to trade our common stock and an investor may find it more difficult to acquire or dispose of our common stock on the secondary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and there is no longer an active trading market for our shares, it may, among other things: cause stockholders difficulty in selling our shares without depressing the market price for the shares or selling our shares at all; substantially impair our ability to raise additional funds; result in a loss of institutional investor interest and fewer financing opportunities for us; and/or result in costly litigation, significant liabilities and diversion of our management’s time and attention and could have a material adverse effect on our financial condition,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delisting would also reduce the value of our equity compensation plans, which could negatively impact our ability to retain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market price of our common stock may fluctuate significantly, this may make it difficult for you to sell your shares of common stock when you want or at prices you find attractive.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common stock is currently listed on the Nasdaq Capital Market and on the Tel Aviv Stock Exchange and constantly changes. In recent years, the stock market in general has experienced extreme price and volume fluctuations. We expect that the market price of our common stock will continue to fluctuate. These fluctuations may result from a variety of factors, many of which are beyond our control. For example, we experienced a significant decline in the market price of our common stock after announcing the results of our ORA-D-013-1 Phase 3 trial in January 2023. These factors include:</w:t>
      </w:r>
    </w:p>
    <w:p>
      <w:pPr>
        <w:pStyle w:val="TextBody"/>
        <w:bidi w:val="0"/>
        <w:spacing w:before="0" w:after="0"/>
        <w:ind w:left="0" w:right="0" w:firstLine="72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acceptance of our new strategy, once determined and announced;</w:t>
            </w:r>
          </w:p>
        </w:tc>
      </w:tr>
    </w:tbl>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05"/>
        <w:gridCol w:w="200"/>
        <w:gridCol w:w="525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 results and the timing of the release of such results;</w:t>
            </w:r>
          </w:p>
        </w:tc>
      </w:tr>
    </w:tbl>
    <w:p>
      <w:pPr>
        <w:pStyle w:val="TextBody"/>
        <w:bidi w:val="0"/>
        <w:spacing w:before="0" w:after="0"/>
        <w:ind w:left="0" w:right="0" w:hanging="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cash resources and our ability to obtain additional funding;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of research activities, business developments, technological innovations or new products by us or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105"/>
        <w:gridCol w:w="200"/>
        <w:gridCol w:w="42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entering into or terminating strategic relationships;</w:t>
            </w:r>
          </w:p>
        </w:tc>
      </w:tr>
    </w:tbl>
    <w:p>
      <w:pPr>
        <w:pStyle w:val="TextBody"/>
        <w:bidi w:val="0"/>
        <w:spacing w:before="0" w:after="0"/>
        <w:ind w:left="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105"/>
        <w:gridCol w:w="200"/>
        <w:gridCol w:w="293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government regulation;</w:t>
            </w:r>
          </w:p>
        </w:tc>
      </w:tr>
    </w:tbl>
    <w:p>
      <w:pPr>
        <w:pStyle w:val="TextBody"/>
        <w:bidi w:val="0"/>
        <w:spacing w:before="0" w:after="0"/>
        <w:ind w:left="0" w:right="0" w:hanging="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200"/>
        <w:gridCol w:w="231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departure of key personnel;</w:t>
            </w:r>
          </w:p>
        </w:tc>
      </w:tr>
    </w:tbl>
    <w:p>
      <w:pPr>
        <w:pStyle w:val="TextBody"/>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105"/>
        <w:gridCol w:w="200"/>
        <w:gridCol w:w="408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concerning patents or proprietary rights;</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05"/>
        <w:gridCol w:w="200"/>
        <w:gridCol w:w="21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expense level;</w:t>
            </w:r>
          </w:p>
        </w:tc>
      </w:tr>
    </w:tbl>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00"/>
        <w:gridCol w:w="43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sales of our equity or equity-related securities;</w:t>
            </w:r>
          </w:p>
        </w:tc>
      </w:tr>
    </w:tbl>
    <w:p>
      <w:pPr>
        <w:pStyle w:val="TextBody"/>
        <w:bidi w:val="0"/>
        <w:spacing w:before="0" w:after="0"/>
        <w:ind w:left="0" w:right="0" w:hanging="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105"/>
        <w:gridCol w:w="200"/>
        <w:gridCol w:w="92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concern regarding the safety, efficacy or other aspects of the products or methodologies being developed;</w:t>
            </w:r>
          </w:p>
        </w:tc>
      </w:tr>
    </w:tbl>
    <w:p>
      <w:pPr>
        <w:pStyle w:val="TextBody"/>
        <w:bidi w:val="0"/>
        <w:spacing w:before="0" w:after="0"/>
        <w:ind w:left="0" w:right="0" w:hanging="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105"/>
        <w:gridCol w:w="200"/>
        <w:gridCol w:w="437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activities of various interest groups or organizations;</w:t>
            </w:r>
          </w:p>
        </w:tc>
      </w:tr>
    </w:tbl>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105"/>
        <w:gridCol w:w="200"/>
        <w:gridCol w:w="17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media coverage; and</w:t>
            </w:r>
          </w:p>
        </w:tc>
      </w:tr>
    </w:tbl>
    <w:p>
      <w:pPr>
        <w:pStyle w:val="TextBody"/>
        <w:bidi w:val="0"/>
        <w:spacing w:before="0" w:after="0"/>
        <w:ind w:left="0" w:right="0" w:hanging="0"/>
        <w:jc w:val="both"/>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05"/>
        <w:gridCol w:w="200"/>
        <w:gridCol w:w="273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status of the investment markets.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sales of common stock or the issuance of securities senior to our common stock or convertible into, or exchangeable or exercisable for, our common stock could materially adversely affect the trading price of our common stock, and our ability to raise funds in new equity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substantial amounts of our common stock, including pursuant to any strategic opportunity, the ATM Agreement (as defined below), or other equity-related securities in the public market or privately, or the perception that such sales could occur, could adversely affect prevailing trading prices of our common stock and could impair our ability to raise capital through future offerings of equity or other equity-related securities. We anticipate that we will need to raise capital through offerings of equity and equity related securities. We can make no prediction as to the effect, if any, that future sales of shares of our common stock or equity-related securities, or the availability of shares of common stock for future sale, will have on the trading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stockholders may experience significant dilution as a result of any additional financing using our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funds by issuing equity securities, including in connection with any strategic opportunity or pursuant to the ATM Agreement, our stockholders may experience significant dilution. Additionally, we may, from time to time or in connection with a strategic alternative,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convertible debt securities, preferred stock or common stock. If we issue common stock or securities convertible into common stock, our common stockholders would experience additional dilution and, as a result, our stock price may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Conducting Business in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affected by the political, economic and military risks of having operations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operations in the State of Israel, and we are directly affected by political, economic and security conditions in that country. Since the establishment of the State of Israel in 1948, a number of armed conflicts have taken place between Israel and its Arab neighbors and a state of hostility, varying in degree and intensity, has led to security and economic problems for Israel. In addition, acts of terrorism, armed conflicts or political instability in the region could negatively affect local business conditions and harm our results of operations. We cannot predict the effect on the region of any diplomatic initiatives or political developments involving Israel or the Palestinians or other countries and territories in the Middle East. Recent political events, including political uprisings, social unrest and regime change, in various countries in the Middle East and North Africa have weakened the stability of those countries and territories, which could result in extremists coming to power. In addition, Iran has threatened to attack Israel and is widely believed to be developing nuclear weapons. Iran is also believed to have a strong influence among extremist groups in the region, such as Hamas in Gaza and Hezbollah in Lebanon. This situation has escalated in the past and may potentially escalate in the future to violent events which may affect Israel and us. On October 7, 2023, the State of Israel was attacked by and subsequently declared war on Hamas. Israel has been in an ongoing state of war with Hamas since that time. Following the attack by Hamas, Hezbollah, a terrorist organization in Lebanon has also launched missile, rocket, and shooting attacks against Israeli military sites, troops, and Israeli towns in northern Israel. In response to these attacks, the Israeli army has carried out a number of targeted strikes on sites belonging to Hezbollah in southern Lebanon and in October 2024, the Israeli military initiated a ground operation in Lebanon, primarily near the Israel-Lebanon border. In November 2024, Israel entered into a ceasefire agreement with Hezbollah, but there are no guarantees as to whether the agreement will hold or whether further hostilities will resume.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Iran launched missile and unmanned aerial vehicle, or UAV, attacks on Israel. Most of the missiles and UAVs were intercepted by Israel’s defense systems, with support from the United States and other countries, including regional allies, preventing significant damage and resulting in no casualties. Despite the successful interceptions, the attacks posed an elevated threat to Israel’s security. On June 13, 2025, in light of continued nuclear threats and intelligence assessments indicating imminent attacks, Israel launched a preemptive strike directly targeting military and nuclear infrastructure inside Iran aimed to disrupt Iran’s capacity to coordinate or launch further hostilities against Israel, as well as disrupt its nuclear program. For 12 days, both sides launched attacks against one another, with Iran targeting civilian infrastructure. As a result of the escalation with Iran, Israel temporarily closed its airspace and ceased all port activity related to commercial shipments. On June 22, 2025, the U.S. military joined Israel in launching strikes directly targeting nuclear infrastructure in Iran. A U.S. brokered ceasefire took effect on June 24,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Israel and the United States commenced coordinated military strikes against targets in Iran, including military and strategic infrastructure in response to ongoing regional tensions and recent escalations involving Iran’s nuclear and military activities. In response, Iran launched a series of retaliatory attacks against Israel, targeting major cities and strategic sites, which are ongoing. While most of these attacks have been intercepted to date, some resulted in civilian casualties and damage to property. Subsequently, Hezbollah launched attacks against Israel in retaliation for the killing of Ali Hosseini Khamenei, the former Supreme Leader of Iran, and in response, Israel launched attacks against Lebanon and Israeli ground forces have entered into Southern Lebanon, and hostilities between Israel and Hezbollah are ongoing. Iran subsequently began launching retaliatory strikes against U.S. and other targets in the Gulf region. The Israeli government has raised its alert level nationwide, and the situation remains highly unstable, with ongoing exchanges of fire and heightened risk of further escalation. Regional and international responses are ongoing, and the risk of broader conflict in the Middle East has increased.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December 2024, Ba’athist Syria, led by President Bashar al-Assad, collapsed during a major offensive by opposition forces made up of several competing rebel groups. In response, the Israeli Defense Forces took control over a United Nations-designated buffer zone over Mount Hermon that separates Israel and Syria. Simultaneously, Israel conducted targeted military strikes against military assets in Syria, aiming to eliminate any chemical weapons storage sites that could be used by rebel groups and further weaken Iran’s operational capabilities in the region. While the transitional government of Syria has indicated that it is interested in reconstruction and stability rather than a continuation of conflicts with Israel, there are no guarantees that there will be no future escalation of hostilities or that Syria will not permit other neighboring countries to launch attacks at Israel from its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adult male and female permanent residents of Israel, unless exempt, may be required to perform military reserve duty annually. Additionally, all such residents are subject to being called to active duty at any time under emergency circumstances, and several hundred thousand Israeli military reservists were drafted to perform immediate military service during the current war with Hamas and other hostile elements, such as Hezbollah in Lebanon. Some of our employees may in the future be obligated to perform annual military reserve duty, although none were called up for reserves in the current war. If called up, such persons may be absent from their positions for a lengthy period of time. We can provide no assurance that such requirements will not have a material adverse effect on our business, prospects, financial condition and results of operations in the future, particularly if emergency circumstances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there is no immediate risk to our business operations related to these events, our business, prospects, financial condition and results of operations could be materially adversely affected if such hostilities involving Israel continue or escalate or if trade or scientific cooperation between Israel and its current partners is interrupted or curtailed. Moreover, we cannot predict how the current conflicts in the Middle East will ultimately affect Israel’s economy in general, which may involve a downgrade in Israel’s credit rating by rating agencies (such as the recent downgrade by Moody’s of its credit rating of Israel from A1 to A2, in October 2023 and further downgrade to Baa1 with a negative outlook in September 2024, as well as the downgrade of its outlook rating from “stable” to “negative”). We may also be targeted by cyber terrorists specifically because we are an Israeli-related company. As of the date of this report, regional security risks remain elevated, and there can be no assurance that conditions will not deteriorate further during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may be difficult to enforce a U.S. judgment against us or our officers and directors and to assert U.S. securities laws claims in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Almost all of our directors and officers are nationals and/or residents of countries other than the United States. As a result, service of process upon us, our Israeli subsidiary and our directors and officers, may be difficult to obtain within the United States. Furthermore, because the majority of our assets and investments, and most of our directors and officers are located outside the United States, it may be difficult for investors to enforce within the United States any judgments obtained against us or any such officers or directors. Additionally, it may be difficult to assert U.S. securities law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 Israeli law and not U.S. law is applicable to such claim. If U.S. law is found to be applicable, the content of applicable U.S. law must be proved as a fact, which can be a time-consuming and costly process. Certain matters of procedure will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pStyle w:val="TextBody"/>
        <w:bidi w:val="0"/>
        <w:spacing w:before="0" w:after="0"/>
        <w:ind w:left="0" w:right="0" w:firstLine="72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limited exceptions, the judgment is final and non-appealable;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given by a court competent under the laws of the state in which the court is located and is otherwise enforceable in such state;</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105"/>
        <w:gridCol w:w="200"/>
        <w:gridCol w:w="91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rendered by a court competent under the rules of private international law applicable in Israel;</w:t>
            </w:r>
          </w:p>
        </w:tc>
      </w:tr>
    </w:tbl>
    <w:p>
      <w:pPr>
        <w:pStyle w:val="TextBody"/>
        <w:bidi w:val="0"/>
        <w:spacing w:before="0" w:after="0"/>
        <w:ind w:left="0" w:right="0" w:hanging="0"/>
        <w:jc w:val="left"/>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05"/>
        <w:gridCol w:w="200"/>
        <w:gridCol w:w="9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laws of the state in which the judgment was given provides for the enforcement of judgments of Israeli courts;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adequate service of process has been effected and the defendant has had a reasonable opportunity to present its arguments and evidence;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105"/>
        <w:gridCol w:w="200"/>
        <w:gridCol w:w="98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and its enforcement are not contrary to the law, public policy, security or sovereignty of the State of Israel;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judgment was not obtained by fraud and does not conflict with any other valid judgment in the same matter between the same parties;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action between the same parties in the same matter was not pending in any Israeli court at the time the lawsuit was instituted in the U.S. court.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conditions are not met, Israeli courts will likely not enforce the applicable U.S. judgment.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tax laws could have a negative effect on us or our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U.S. federal or state income tax laws, or the administrative interpretations of those laws, may be amended. Federal and state tax laws are constantly under review by persons involved in the legislative process, the U.S. Internal Revenue Service, the U.S. Department of the Treasury and state taxing authorities. Changes to the tax laws, regulations and administrative interpretations, which may have retroactive application, could adversely affect us. Our stockholders are encouraged to consult with their tax advisors about the potential effects that changes in law may have on them and their ownership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and operations would suffer in the event of computer system failures, cyber-attacks or deficiencies in our 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clinical trial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management will have significant flexibility in using the net proceeds of any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generally to use the net proceeds from any offerings of our securities for expenses related to our clinical trials, research and product development activities, and for general corporate purposes, including general working capital purposes. Our management will have significant flexibility in applying the net proceeds of any such offering and we will necessarily be using our capital when we decide on new strategic initiatives. The actual amounts and timing of expenditures will vary significantly depending on a number of factors, including the amount of cash used in our operations and our research and development efforts. Management’s failure to use these funds effectively would have an adverse effect on the value of our common stock and could make it more difficult and costly to raise funds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stockholder rights plan, or “poison pill,” includes terms and conditions which could discourage a takeover or other transaction that stockholders may consider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2025, our Board declared a dividend of one common stock purchase right (a “Right”) for each outstanding share of common stock. The dividend was paid on November 27, 2025, to the stockholders of record at the close of business on November 27, 2025. Each Right initially entitles the registered holder to purchase from us one share of common stock at a price of $10.00 per share of common stock, subject to adjustment. The description and terms of the Rights are set forth in a Rights Agreement dated as of November 17, 2025, as the same may be amended from time to time, between us and Continental Stock Transfer &amp; Trust Company, as Rights agent. Until the earlier to occur of (i) 10 business days following a public announcement that a person or group of affiliated or associated persons has become a person or group of affiliated or associated persons acquires beneficial ownership of 15% or more of the outstanding shares of common stock (an “Acquiring Person”) or (ii) 10 business days (or such later date as may be determined by action of the Board prior to such time as any person or group of affiliated or associated persons becomes an Acquiring Person) following the commencement of, or public announcement of an intention to make, a tender or exchange offer the consummation of which would result in any person or group of affiliated or associated persons becoming an Acquiring Person (the earlier of such dates being called the “Distribution Date”), the Rights will be evidenced, with respect to certificates representing Common Stock (or book entry shares of common stock) outstanding as of the Record Date, by such certificates (or such book entry shares). In the event that any person or group of affiliated or associated persons becomes an Acquiring Person, each holder of a Right, other than Rights beneficially owned by the Acquiring Person (which will thereupon become void), will thereafter have the right to receive upon exercise of a Right that number of shares of common stock (or cash, other assets, debt securities of the Company, or any combination thereof) having a market value of two times the exercise price of the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have certain anti-takeover effects, including potentially discouraging a takeover that stockholders may consider favorable. The Rights will cause substantial dilution to a person or group that attempts to acquire us on terms not approved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law could discourage a change in control, or an acquisition of us by a third party, even if the acquisition would be favorable to you, and thereby adversely affect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provisions that may have the effect of making more difficult or delaying attempts by others to obtain control of the Company, even when these attempts may be in the best interests of stockholders. Delaware law imposes conditions on certain business combination transactions with “interested stockholders.” These provisions and others that could be adopted in the future could deter unsolicited takeovers or delay or prevent changes in our control or management, including transactions in which stockholders might otherwise receive a premium for their shares of common stock over then current market prices. These provisions may also limit the ability of stockholders to approve transactions that they may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critical importance of maintaining the trust and confidence of our business partners, employees and clinical trial participants. The Audit Committee is responsible for reviewing our policies with respect to cybersecurity risks and relevant contingent liabilities and risks that may be material to the Company, including risks from third parties and business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seek to address cybersecurity risks by implementing security measures on our internal computer systems and ensuring that third parties and business partners implement similar measures. These security measures include firewalls, intrusion prevention and detection systems, anti-malware functionality and access controls, which are evaluated by our external IT consultant and improved through vulnerability assessments and cybersecurity threat intelligence.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and Business Officer is responsible for implementing protection measures for our information systems from cybersecurity threats and promptly responding to any cybersecurity incidents.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risks from cybersecurity threats have not materially affected us and we do not currently believe any risks from cybersecurity threats are reasonably likely to affect the Company, including our business strategy, results of operations or financial condition. For further information, see “Item 1A. Risk Factors,” under “Our business and operations would suffer in the event of computer system failures, cyber-attacks or deficiencies in our cyber-security.”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at 1185 Avenue of the Americas, New York, NY 10036. We currently lease approximately 2,842 square feet of office space at 20 Mamilla Street, Jerusalem, Israel under a lease that expires in August 31,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facilities are suitable and adequate to meet our current business requirements. In the event that we should require additional or alternative facilities, we believe that such facilities can be obtained on short notice at competitive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a party to litigation and subject to claims incident to the ordinary course of business. Future litigation may be necessary to defend ourselves by determining the scope, enforceability, and validity of third-party proprietary rights or to establish our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35</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5. MARKET FOR REGISTRANT’S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and on the Tel Aviv Stock Exchange, in each case under the symbol “ORMP.”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26, 2026, there were 40,446,179 shares of our common stock issued and outstanding held of record by approximately 40 registered stockholders. We believe that a significant number of stockholders hold their shares of our common stock in brokerage accounts and registered in the name of stock depositories and are therefore not included in the number of stockholders of record.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our Board of Directors declared a cash dividend of $0.25 per share of common stock, warrants and RSUs, payable to stockholders of record as of January 16, 2026. The aggregate amount of the dividend is $10,870. We do not expect that we will pay any dividends or other distributions to stockholders in the foreseeable future.</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Rights Plan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16, 2025, our Board declared a dividend of one common stock purchase right (a “Right”) for each outstanding share of common stock. The dividend was paid on November 27, 2025, to the stockholders of record at the close of business on November 27, 2025. Each Right initially entitles the registered holder to purchase from us one share of common stock at a price of $10.00 per share of common stock, subject to adjustment. The description and terms of the Rights are set forth in a Rights Agreement dated as of November 17, 2025, as the same may be amended from time to time, between us and Continental Stock Transfer &amp; Trust Company, as Rights agent. Until the earlier to occur of (i) 10 business days following a public announcement that a person or group of affiliated or associated persons has become a person or group of affiliated or associated persons acquires beneficial ownership of 15% or more of the outstanding shares of common stock (an “Acquiring Person”) or (ii) 10 business days (or such later date as may be determined by action of the Board prior to such time as any person or group of affiliated or associated persons becomes an Acquiring Person) following the commencement of, or public announcement of an intention to make, a tender or exchange offer the consummation of which would result in any person or group of affiliated or associated persons becoming an Acquiring Person (the earlier of such dates being called the “Distribution Date”), the Rights will be evidenced, with respect to certificates representing Common Stock (or book entry shares of common stock) outstanding as of the Record Date, by such certificates (or such book entry shares). In the event that any person or group of affiliated or associated persons becomes an Acquiring Person, each holder of a Right, other than Rights beneficially owned by the Acquiring Person (which will thereupon become void), will thereafter have the right to receive upon exercise of a Right that number of shares of common stock (or cash, other assets, debt securities of the Company, or any combination thereof) having a market value of two times the exercise price of the Right.</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unregistered sales of equity securities were made during the three months ended December 31, 2025. that were not previously reported in a Quarterly Report on Form 10-Q or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Purchases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our Board authorized a stock buyback and retirement program or, the “Buy-Back Program” pursuant to which we may, from time to time, repurchase up to $20,000,000 in maximum value of our common stock. Share repurchases may be executed through various means, including, without limitation, open market transactions, privately negotiated transactions or otherwise in compliance with Rule 10b-18 under the Exchange Act. The Buy-Back Program does not obligate us to purchase any shares and the initial term was set to expire in June 2025. On May 21, 2025, our Board authorized a one-year extension of the Buy-Back Program, which was set to expire in June 2026. The authorization for the Buy-Back Program may be terminated, increased or decreased by our Board in its discretion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we have repurchased and retired shares of our common stock under the Buy-Back Program. During the year ended December 31, 2025, we repurchased an aggregate of 899,609 in shares of common stock for $2,155,000, including approximately $6,000 of excise tax, at an average price of $2.39 per share, and during the year ended December 31, 2024, we repurchased an aggregate of 1,036,976 shares of common stock for $2,494,000, including $10 of excise tax, at an average price of $2.40 per share. All repurchases were funded with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we entered into a separate stock repurchase agreement with HTIT pursuant to which HTIT agreed to sell to us 1,155,367 shares of common stock at a purchase price of $2.23 per share for an aggregate price of $2,584,000, including approximately $8,000 of excise tax. Following such repurchase, the shares were cancelled and retired.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information with respect to repurchase and retirement made by the Company of its shares of common stock during the fourth quarter ended December 31, 2025:</w:t>
      </w:r>
    </w:p>
    <w:p>
      <w:pPr>
        <w:pStyle w:val="TextBody"/>
        <w:bidi w:val="0"/>
        <w:spacing w:before="0" w:after="0"/>
        <w:ind w:left="0" w:right="0" w:hanging="0"/>
        <w:jc w:val="left"/>
        <w:rPr>
          <w:caps w:val="false"/>
          <w:smallCaps w:val="false"/>
        </w:rPr>
      </w:pPr>
      <w:r>
        <w:rPr>
          <w:caps w:val="false"/>
          <w:smallCaps w:val="false"/>
        </w:rPr>
        <w:t> </w:t>
      </w:r>
    </w:p>
    <w:tbl>
      <w:tblPr>
        <w:tblW w:w="9744" w:type="dxa"/>
        <w:jc w:val="left"/>
        <w:tblInd w:w="0" w:type="dxa"/>
        <w:tblLayout w:type="fixed"/>
        <w:tblCellMar>
          <w:top w:w="0" w:type="dxa"/>
          <w:left w:w="0" w:type="dxa"/>
          <w:bottom w:w="28" w:type="dxa"/>
          <w:right w:w="0" w:type="dxa"/>
        </w:tblCellMar>
      </w:tblPr>
      <w:tblGrid>
        <w:gridCol w:w="2165"/>
        <w:gridCol w:w="90"/>
        <w:gridCol w:w="140"/>
        <w:gridCol w:w="1575"/>
        <w:gridCol w:w="90"/>
        <w:gridCol w:w="90"/>
        <w:gridCol w:w="283"/>
        <w:gridCol w:w="786"/>
        <w:gridCol w:w="90"/>
        <w:gridCol w:w="90"/>
        <w:gridCol w:w="167"/>
        <w:gridCol w:w="1548"/>
        <w:gridCol w:w="90"/>
        <w:gridCol w:w="90"/>
        <w:gridCol w:w="302"/>
        <w:gridCol w:w="2013"/>
        <w:gridCol w:w="135"/>
      </w:tblGrid>
      <w:tr>
        <w:trPr/>
        <w:tc>
          <w:tcPr>
            <w:tcW w:w="2165" w:type="dxa"/>
            <w:tcBorders>
              <w:bottom w:val="single" w:sz="12" w:space="0" w:color="000000"/>
            </w:tcBorders>
            <w:vAlign w:val="center"/>
          </w:tcPr>
          <w:p>
            <w:pPr>
              <w:pStyle w:val="TableContents"/>
              <w:bidi w:val="0"/>
              <w:spacing w:before="0" w:after="283"/>
              <w:jc w:val="left"/>
              <w:rPr>
                <w:b/>
              </w:rPr>
            </w:pPr>
            <w:r>
              <w:rPr>
                <w:b/>
              </w:rPr>
              <w:t>Period</w:t>
            </w:r>
          </w:p>
        </w:tc>
        <w:tc>
          <w:tcPr>
            <w:tcW w:w="90" w:type="dxa"/>
            <w:tcBorders/>
            <w:tcMar>
              <w:bottom w:w="0" w:type="dxa"/>
            </w:tcMar>
            <w:vAlign w:val="center"/>
          </w:tcPr>
          <w:p>
            <w:pPr>
              <w:pStyle w:val="TableContents"/>
              <w:bidi w:val="0"/>
              <w:spacing w:before="0" w:after="283"/>
              <w:jc w:val="left"/>
              <w:rPr/>
            </w:pPr>
            <w:r>
              <w:rPr/>
              <w:t> </w:t>
            </w:r>
          </w:p>
        </w:tc>
        <w:tc>
          <w:tcPr>
            <w:tcW w:w="1715" w:type="dxa"/>
            <w:gridSpan w:val="2"/>
            <w:tcBorders>
              <w:bottom w:val="single" w:sz="12" w:space="0" w:color="000000"/>
            </w:tcBorders>
            <w:vAlign w:val="center"/>
          </w:tcPr>
          <w:p>
            <w:pPr>
              <w:pStyle w:val="TableContents"/>
              <w:bidi w:val="0"/>
              <w:spacing w:before="0" w:after="283"/>
              <w:jc w:val="center"/>
              <w:rPr>
                <w:b/>
              </w:rPr>
            </w:pPr>
            <w:r>
              <w:rPr>
                <w:b/>
              </w:rPr>
              <w:t>Total number of</w:t>
              <w:br/>
              <w:t>shares</w:t>
              <w:br/>
              <w:t>purchased</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12" w:space="0" w:color="000000"/>
            </w:tcBorders>
            <w:vAlign w:val="center"/>
          </w:tcPr>
          <w:p>
            <w:pPr>
              <w:pStyle w:val="TableContents"/>
              <w:bidi w:val="0"/>
              <w:spacing w:before="0" w:after="283"/>
              <w:jc w:val="center"/>
              <w:rPr>
                <w:b/>
              </w:rPr>
            </w:pPr>
            <w:r>
              <w:rPr>
                <w:b/>
              </w:rPr>
              <w:t>Average</w:t>
              <w:br/>
              <w:t>price paid</w:t>
              <w:br/>
              <w:t>per 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5" w:type="dxa"/>
            <w:gridSpan w:val="2"/>
            <w:tcBorders>
              <w:bottom w:val="single" w:sz="12" w:space="0" w:color="000000"/>
            </w:tcBorders>
            <w:vAlign w:val="center"/>
          </w:tcPr>
          <w:p>
            <w:pPr>
              <w:pStyle w:val="TableContents"/>
              <w:bidi w:val="0"/>
              <w:spacing w:before="0" w:after="283"/>
              <w:jc w:val="center"/>
              <w:rPr>
                <w:b/>
              </w:rPr>
            </w:pPr>
            <w:r>
              <w:rPr>
                <w:b/>
              </w:rPr>
              <w:t>Total number of</w:t>
              <w:br/>
              <w:t>shares</w:t>
              <w:br/>
              <w:t>purchased as</w:t>
              <w:br/>
              <w:t>part of publicly</w:t>
              <w:br/>
              <w:t>announced</w:t>
              <w:br/>
              <w:t>plans or</w:t>
              <w:br/>
              <w:t>programs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315" w:type="dxa"/>
            <w:gridSpan w:val="2"/>
            <w:tcBorders>
              <w:bottom w:val="single" w:sz="12" w:space="0" w:color="000000"/>
            </w:tcBorders>
            <w:vAlign w:val="center"/>
          </w:tcPr>
          <w:p>
            <w:pPr>
              <w:pStyle w:val="TableContents"/>
              <w:bidi w:val="0"/>
              <w:spacing w:before="0" w:after="283"/>
              <w:jc w:val="center"/>
              <w:rPr>
                <w:b/>
              </w:rPr>
            </w:pPr>
            <w:r>
              <w:rPr>
                <w:b/>
              </w:rPr>
              <w:t>Approximate</w:t>
              <w:br/>
              <w:t xml:space="preserve">dollar value of </w:t>
              <w:br/>
              <w:t>shares that may yet be</w:t>
              <w:br/>
              <w:t>purchased under</w:t>
              <w:br/>
              <w:t>the plans or</w:t>
              <w:br/>
              <w:t>programs</w:t>
            </w:r>
          </w:p>
        </w:tc>
        <w:tc>
          <w:tcPr>
            <w:tcW w:w="13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October 1-31,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pPr>
            <w:r>
              <w:rPr/>
              <w:t>1,155,367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w:t>
            </w:r>
          </w:p>
        </w:tc>
        <w:tc>
          <w:tcPr>
            <w:tcW w:w="786" w:type="dxa"/>
            <w:tcBorders/>
            <w:shd w:fill="CCEEFF" w:val="clear"/>
            <w:tcMar>
              <w:bottom w:w="0" w:type="dxa"/>
            </w:tcMar>
            <w:vAlign w:val="center"/>
          </w:tcPr>
          <w:p>
            <w:pPr>
              <w:pStyle w:val="TableContents"/>
              <w:bidi w:val="0"/>
              <w:spacing w:before="0" w:after="283"/>
              <w:jc w:val="right"/>
              <w:rPr/>
            </w:pPr>
            <w:r>
              <w:rPr/>
              <w:t>2.23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 w:type="dxa"/>
            <w:tcBorders/>
            <w:shd w:fill="CCEEFF" w:val="clear"/>
            <w:tcMar>
              <w:bottom w:w="0" w:type="dxa"/>
            </w:tcMar>
            <w:vAlign w:val="center"/>
          </w:tcPr>
          <w:p>
            <w:pPr>
              <w:pStyle w:val="TableContents"/>
              <w:bidi w:val="0"/>
              <w:spacing w:before="0" w:after="283"/>
              <w:jc w:val="left"/>
              <w:rPr/>
            </w:pPr>
            <w:r>
              <w:rPr/>
              <w:t>$</w:t>
            </w:r>
          </w:p>
        </w:tc>
        <w:tc>
          <w:tcPr>
            <w:tcW w:w="2013" w:type="dxa"/>
            <w:tcBorders/>
            <w:shd w:fill="CCEEFF" w:val="clear"/>
            <w:tcMar>
              <w:bottom w:w="0" w:type="dxa"/>
            </w:tcMar>
            <w:vAlign w:val="center"/>
          </w:tcPr>
          <w:p>
            <w:pPr>
              <w:pStyle w:val="TableContents"/>
              <w:bidi w:val="0"/>
              <w:spacing w:before="0" w:after="283"/>
              <w:jc w:val="right"/>
              <w:rPr/>
            </w:pPr>
            <w:r>
              <w:rPr/>
              <w:t>16,794,198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November 1-30, 2025</w:t>
            </w:r>
          </w:p>
        </w:tc>
        <w:tc>
          <w:tcPr>
            <w:tcW w:w="9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1575" w:type="dxa"/>
            <w:tcBorders/>
            <w:tcMar>
              <w:bottom w:w="0" w:type="dxa"/>
            </w:tcMar>
            <w:vAlign w:val="center"/>
          </w:tcPr>
          <w:p>
            <w:pPr>
              <w:pStyle w:val="TableContents"/>
              <w:bidi w:val="0"/>
              <w:spacing w:before="0" w:after="283"/>
              <w:jc w:val="right"/>
              <w:rPr/>
            </w:pPr>
            <w:r>
              <w:rPr/>
              <w:t>570,366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3" w:type="dxa"/>
            <w:tcBorders/>
            <w:tcMar>
              <w:bottom w:w="0" w:type="dxa"/>
            </w:tcMar>
            <w:vAlign w:val="center"/>
          </w:tcPr>
          <w:p>
            <w:pPr>
              <w:pStyle w:val="TableContents"/>
              <w:bidi w:val="0"/>
              <w:spacing w:before="0" w:after="283"/>
              <w:jc w:val="left"/>
              <w:rPr/>
            </w:pPr>
            <w:r>
              <w:rPr/>
              <w:t>$</w:t>
            </w:r>
          </w:p>
        </w:tc>
        <w:tc>
          <w:tcPr>
            <w:tcW w:w="786" w:type="dxa"/>
            <w:tcBorders/>
            <w:tcMar>
              <w:bottom w:w="0" w:type="dxa"/>
            </w:tcMar>
            <w:vAlign w:val="center"/>
          </w:tcPr>
          <w:p>
            <w:pPr>
              <w:pStyle w:val="TableContents"/>
              <w:bidi w:val="0"/>
              <w:spacing w:before="0" w:after="283"/>
              <w:jc w:val="right"/>
              <w:rPr/>
            </w:pPr>
            <w:r>
              <w:rPr/>
              <w:t>2.50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tcMar>
              <w:bottom w:w="0" w:type="dxa"/>
            </w:tcMar>
            <w:vAlign w:val="center"/>
          </w:tcPr>
          <w:p>
            <w:pPr>
              <w:pStyle w:val="TableContents"/>
              <w:bidi w:val="0"/>
              <w:spacing w:before="0" w:after="283"/>
              <w:jc w:val="left"/>
              <w:rPr/>
            </w:pPr>
            <w:r>
              <w:rPr/>
              <w:t> </w:t>
            </w:r>
          </w:p>
        </w:tc>
        <w:tc>
          <w:tcPr>
            <w:tcW w:w="1548" w:type="dxa"/>
            <w:tcBorders/>
            <w:tcMar>
              <w:bottom w:w="0" w:type="dxa"/>
            </w:tcMar>
            <w:vAlign w:val="center"/>
          </w:tcPr>
          <w:p>
            <w:pPr>
              <w:pStyle w:val="TableContents"/>
              <w:bidi w:val="0"/>
              <w:spacing w:before="0" w:after="283"/>
              <w:jc w:val="right"/>
              <w:rPr/>
            </w:pPr>
            <w:r>
              <w:rPr/>
              <w:t>570,366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2" w:type="dxa"/>
            <w:tcBorders/>
            <w:tcMar>
              <w:bottom w:w="0" w:type="dxa"/>
            </w:tcMar>
            <w:vAlign w:val="center"/>
          </w:tcPr>
          <w:p>
            <w:pPr>
              <w:pStyle w:val="TableContents"/>
              <w:bidi w:val="0"/>
              <w:spacing w:before="0" w:after="283"/>
              <w:jc w:val="left"/>
              <w:rPr/>
            </w:pPr>
            <w:r>
              <w:rPr/>
              <w:t>$</w:t>
            </w:r>
          </w:p>
        </w:tc>
        <w:tc>
          <w:tcPr>
            <w:tcW w:w="2013" w:type="dxa"/>
            <w:tcBorders/>
            <w:tcMar>
              <w:bottom w:w="0" w:type="dxa"/>
            </w:tcMar>
            <w:vAlign w:val="center"/>
          </w:tcPr>
          <w:p>
            <w:pPr>
              <w:pStyle w:val="TableContents"/>
              <w:bidi w:val="0"/>
              <w:spacing w:before="0" w:after="283"/>
              <w:jc w:val="right"/>
              <w:rPr/>
            </w:pPr>
            <w:r>
              <w:rPr/>
              <w:t>15,366,989</w:t>
            </w:r>
          </w:p>
        </w:tc>
        <w:tc>
          <w:tcPr>
            <w:tcW w:w="13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December 1-31, 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575"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shd w:fill="CCEEFF" w:val="clear"/>
            <w:vAlign w:val="center"/>
          </w:tcPr>
          <w:p>
            <w:pPr>
              <w:pStyle w:val="TableContents"/>
              <w:bidi w:val="0"/>
              <w:spacing w:before="0" w:after="283"/>
              <w:jc w:val="left"/>
              <w:rPr/>
            </w:pPr>
            <w:r>
              <w:rPr/>
              <w:t>$</w:t>
            </w:r>
          </w:p>
        </w:tc>
        <w:tc>
          <w:tcPr>
            <w:tcW w:w="786"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shd w:fill="CCEEFF" w:val="clear"/>
            <w:vAlign w:val="center"/>
          </w:tcPr>
          <w:p>
            <w:pPr>
              <w:pStyle w:val="TableContents"/>
              <w:bidi w:val="0"/>
              <w:spacing w:before="0" w:after="283"/>
              <w:jc w:val="left"/>
              <w:rPr/>
            </w:pPr>
            <w:r>
              <w:rPr/>
              <w:t> </w:t>
            </w:r>
          </w:p>
        </w:tc>
        <w:tc>
          <w:tcPr>
            <w:tcW w:w="1548"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02" w:type="dxa"/>
            <w:tcBorders>
              <w:bottom w:val="single" w:sz="12" w:space="0" w:color="000000"/>
            </w:tcBorders>
            <w:shd w:fill="CCEEFF" w:val="clear"/>
            <w:vAlign w:val="center"/>
          </w:tcPr>
          <w:p>
            <w:pPr>
              <w:pStyle w:val="TableContents"/>
              <w:bidi w:val="0"/>
              <w:spacing w:before="0" w:after="283"/>
              <w:jc w:val="left"/>
              <w:rPr/>
            </w:pPr>
            <w:r>
              <w:rPr/>
              <w:t>$</w:t>
            </w:r>
          </w:p>
        </w:tc>
        <w:tc>
          <w:tcPr>
            <w:tcW w:w="2013" w:type="dxa"/>
            <w:tcBorders>
              <w:bottom w:val="single" w:sz="12" w:space="0" w:color="000000"/>
            </w:tcBorders>
            <w:shd w:fill="CCEEFF" w:val="clear"/>
            <w:vAlign w:val="center"/>
          </w:tcPr>
          <w:p>
            <w:pPr>
              <w:pStyle w:val="TableContents"/>
              <w:bidi w:val="0"/>
              <w:spacing w:before="0" w:after="283"/>
              <w:jc w:val="right"/>
              <w:rPr/>
            </w:pPr>
            <w:r>
              <w:rPr/>
              <w:t>15,366,989</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vAlign w:val="center"/>
          </w:tcPr>
          <w:p>
            <w:pPr>
              <w:pStyle w:val="TableContents"/>
              <w:bidi w:val="0"/>
              <w:spacing w:before="0" w:after="283"/>
              <w:jc w:val="left"/>
              <w:rPr/>
            </w:pPr>
            <w:r>
              <w:rPr/>
              <w:t> </w:t>
            </w:r>
          </w:p>
        </w:tc>
        <w:tc>
          <w:tcPr>
            <w:tcW w:w="1575" w:type="dxa"/>
            <w:tcBorders>
              <w:bottom w:val="single" w:sz="12" w:space="0" w:color="000000"/>
            </w:tcBorders>
            <w:vAlign w:val="center"/>
          </w:tcPr>
          <w:p>
            <w:pPr>
              <w:pStyle w:val="TableContents"/>
              <w:bidi w:val="0"/>
              <w:spacing w:before="0" w:after="283"/>
              <w:jc w:val="right"/>
              <w:rPr/>
            </w:pPr>
            <w:r>
              <w:rPr/>
              <w:t>1,725,733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83" w:type="dxa"/>
            <w:tcBorders>
              <w:bottom w:val="single" w:sz="12" w:space="0" w:color="000000"/>
            </w:tcBorders>
            <w:vAlign w:val="center"/>
          </w:tcPr>
          <w:p>
            <w:pPr>
              <w:pStyle w:val="TableContents"/>
              <w:bidi w:val="0"/>
              <w:spacing w:before="0" w:after="283"/>
              <w:jc w:val="left"/>
              <w:rPr/>
            </w:pPr>
            <w:r>
              <w:rPr/>
              <w:t> </w:t>
            </w:r>
          </w:p>
        </w:tc>
        <w:tc>
          <w:tcPr>
            <w:tcW w:w="786" w:type="dxa"/>
            <w:tcBorders>
              <w:bottom w:val="single" w:sz="12" w:space="0" w:color="000000"/>
            </w:tcBorders>
            <w:vAlign w:val="center"/>
          </w:tcPr>
          <w:p>
            <w:pPr>
              <w:pStyle w:val="TableContents"/>
              <w:bidi w:val="0"/>
              <w:spacing w:before="0" w:after="283"/>
              <w:jc w:val="right"/>
              <w:rPr/>
            </w:pPr>
            <w:r>
              <w:rPr/>
              <w:t>2.32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7" w:type="dxa"/>
            <w:tcBorders>
              <w:bottom w:val="single" w:sz="12" w:space="0" w:color="000000"/>
            </w:tcBorders>
            <w:vAlign w:val="center"/>
          </w:tcPr>
          <w:p>
            <w:pPr>
              <w:pStyle w:val="TableContents"/>
              <w:bidi w:val="0"/>
              <w:spacing w:before="0" w:after="283"/>
              <w:jc w:val="left"/>
              <w:rPr/>
            </w:pPr>
            <w:r>
              <w:rPr/>
              <w:t> </w:t>
            </w:r>
          </w:p>
        </w:tc>
        <w:tc>
          <w:tcPr>
            <w:tcW w:w="1548" w:type="dxa"/>
            <w:tcBorders>
              <w:bottom w:val="single" w:sz="12" w:space="0" w:color="000000"/>
            </w:tcBorders>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02" w:type="dxa"/>
            <w:tcBorders>
              <w:bottom w:val="single" w:sz="12" w:space="0" w:color="000000"/>
            </w:tcBorders>
            <w:vAlign w:val="center"/>
          </w:tcPr>
          <w:p>
            <w:pPr>
              <w:pStyle w:val="TableContents"/>
              <w:bidi w:val="0"/>
              <w:spacing w:before="0" w:after="283"/>
              <w:jc w:val="left"/>
              <w:rPr/>
            </w:pPr>
            <w:r>
              <w:rPr/>
              <w:t> </w:t>
            </w:r>
          </w:p>
        </w:tc>
        <w:tc>
          <w:tcPr>
            <w:tcW w:w="2013" w:type="dxa"/>
            <w:tcBorders>
              <w:bottom w:val="single" w:sz="12" w:space="0" w:color="000000"/>
            </w:tcBorders>
            <w:vAlign w:val="center"/>
          </w:tcPr>
          <w:p>
            <w:pPr>
              <w:pStyle w:val="TableContents"/>
              <w:bidi w:val="0"/>
              <w:spacing w:before="0" w:after="283"/>
              <w:jc w:val="right"/>
              <w:rPr/>
            </w:pPr>
            <w:r>
              <w:rPr/>
              <w:t>15,366,989</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6. [RESERVED]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7.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audited consolidated financial statements and the related notes included elsewhere herein and in our audited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addition to our audited consolidated financial statements,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“Cautionary Statement Regarding Forward-Looking Statements” and “Item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pharmaceutical company engaged in the research and development of innovative pharmaceutical solutions with a technology platform that allows for the oral delivery of therapeutic proteins. In addition, we allocate capital to strategic investments in healthcare and life sciences companies that we believe complement our long-term business objectives and technology focus.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our business and operations, please refer to Item 1 –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single reportable segment is focused on research and development activities related to our proprietary products and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Scilex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agreed to defer an amortization payment due from Scilex on October 1, 2025 under the amortization schedule included in the Tranche B Notes. The deferred amortization payment was subsequently paid to us in November 2025. In consideration for this deferral, Scilex agreed to issue to us warrants to purchase 100,000 shares of Scilex’s common stock, par value $0.0001 per share with an exercise price of $20. The warrants were issued on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Lifeward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Share Purchase Agreement or, the “Lifeward Share Purchase Agreement” with Lifeward and OraTech pursuant to which Lifeward acquired all of the outstanding equity interests of OraTech from us or’ the “Share Purchase Transaction”. Prior to the closing, we transferred to OraTech all intellectual property and related assets relating to our POD™ (Protein Oral Delivery) technology platform, together with cash to fund the next planned clinical trial and related development activities. As a result, commencing on the closing date of March 25, 2026, research and development expenses will be borne by Oratech.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Oratech, Lifeward issued to us: (i) Lifeward Ordinary Shares and pre-funded warrants to purchase Lifeward Ordinary Shares representing up to 49.99% of Lifeward’s fully diluted equity capitalization at closing, subject to adjustments, which represents less than 45.0% of the outstanding Lifeward Ordinary Shares at closing; (ii) warrants to purchase Lifeward Ordinary Shares equal to the quotient of Lifeward’s net cash at closing divided by an exercise price of $5.40 per share, reflecting Lifeward’s 12-for-1 reverse share split effected on February 24, 2026 (which adjusted the original exercise price of $0.45 per share), subject to adjustments or, the “Share Purchase Warrants”; and (iii) revenue-sharing payments equal to 4% of the net revenue from Lifeward’s ReWalk Personal Exoskeleton products and related extended warranties for up to 10 years following closing, subject to certain caps and early termination upon the occurrence of specified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Share Purchase Transaction was subject to customary closing conditions, including the approval of Lifeward’s shareholders for the issuance of more than 19.99% of Lifeward Ordinary Shares in accordance with Nasdaq listing standards. Such shareholder approval was obtained on March 12, 2026. The closing of the Share Purchase Transaction took place on March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Lifeward agreed to file a resale registration statement with the SEC covering the Lifeward Ordinary Shares issued in the transaction and those issuable upon exercise of the pre-funded warrants and warrants described above as soon as practicable following closing, but no later than 75 days after closing, and to use commercially reasonable efforts to have such registration statement declared effective within 75 days after closing (or 105 days in the event of a full SEC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Pre-Funded Warrants and Share Purchase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Warrants were immediately exercisable upon issuance at an initial exercise price of $5.40 per share, reflecting Lifeward’s 12-for-1 reverse share split effected on February 24, 2026 (which adjusted the original exercise price of $0.45 per share), and expire five years from the date of issuance. The exercise price is subject to customary 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have an exercise price of $0.0012 per share (reflecting the reverse-split adjusted price of the original $0.0001 per share), subject to customary adjustments, and will remain exercisable until exercised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exercise any portion of the Pre-Funded Warrants or Share Purchase Warrants to the extent that, after giving effect to such exercise, we and our affiliates would beneficially own more than 45.0% of the outstanding Lifeward Ordinary Shares. This limitation will automatically increase to 49.99% once (i) the Investors no longer hold any Notes and (ii) the Investors have sold all Note Shares issued or issuable upon conversion of the Notes and related warrants. We may increase the beneficial ownership limitation upon at least 61 days’ prior notice to Lifeward; provided that, for so long as certain Lifeward warrants outstanding as of the issuance date remain outstanding, any such increase will require Lifeward’s consent, which may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Lifeward Share Purchase Agreement, we entered into a lock-up agreement for a period of 120 days after the Closing, without the prior written consent of Lifeward.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39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Lifeward Share Purchase Agreement, we agreed to enter into a clinical trial management or, the “Clinical Trial Management Agreement” with Oratech, pursuant to which we agreed to manage the clinical study of Oratech’s investigational oral insulin capsule product or, the “Study”, including providing clinical trial management and administrative services through study completion or, the “Services”. In consideration for the Services, OraTech will reimburse us for all reasonable out-of-pocket expenses actually incurred by us in providing the Services and payments made on behalf of OraTech to third parties and vendors, such as clinical sites, if applicable, subject to certain limitations and maximum payments as set forth in the Clinical Trial Management Agreement. The Clinical Trial Management Agreement will terminate upon completion of the Study unless earlier terminated in accordance with the terms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Notes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Securities Purchase Agreement or, the “Lifeward Notes Purchase Agreement” with Lifeward and other investors pursuant to which we agreed to purchase, in a private placement, up to $18,000,000 of senior secured convertible notes issued by Lifeward, together with accompanying warrants to purchase Lifeward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we purchased $9,000,000 aggregate principal amount of such notes or, the “Initial Notes”. The Initial Notes bear interest at 8% per annum, payable semi-annually, and mature three years from the date of issuance. The Initial Notes are convertible into Lifeward Ordinary Shares at an initial conversion price of $5.40 per share, reflecting Lifeward’s 12-for-1 reverse share split effected on February 24, 2026 (which adjusted the original conversion price of $0.45 per share), subject to customary anti-dilution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agreed to purchase an additional $9,000,000 aggregate principal amount of notes or, the “Additional Notes” and together with the Initial Notes, or, the “Notes”, together with accompanying warrants, on substantially the same terms as the Initial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Additional Notes is subject to customary closing conditions and 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Lifeward achieving at least a 150% increase in ReWalk unit sales compared to the trailing twelve-month period immediately preceding the Additional Closing;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closing price of Lifeward Ordinary Shares equaling or exceeding $13.80 per share, reflecting Lifeward’s 12-for-1 reverse share split (which adjusted the original $1.15 threshold), for 10 consecutive trading days immediately prior to the Additional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Initial Notes was subject to customary closing conditions, including the approval of Lifeward’s shareholders for the issuance of more than 19.99% of Lifeward Ordinary Shares in accordance with Nasdaq listing standards. Such shareholder approval was obtained on March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Lifeward agreed to file a resale registration statement with the SEC covering the Lifeward Ordinary Shares issuable upon conversion of the Notes and exercise of the related warrants within 30 days after the Initial Closing, and to use commercially reasonable efforts to have the registration statement declared effective within 45 days thereafter (or 75 days in the event of a full SEC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discussion that follows includes a comparison of our results of operations and liquidity and capital resources for the years ended December 31, 2025 and December 31, 2024. For a comparison of our results of operations and financial condition for the year ended December 31, 2024 and the year ended December 31, 2023, see “Item 7. Management’s Discussion and Analysis of Financial Condition and Results of Operations” included in our Annual Report on Form 10-K for the year ended December 31, 2024, filed with the SEC on March 27,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16"/>
        <w:gridCol w:w="90"/>
        <w:gridCol w:w="238"/>
        <w:gridCol w:w="1585"/>
        <w:gridCol w:w="175"/>
        <w:gridCol w:w="125"/>
        <w:gridCol w:w="238"/>
        <w:gridCol w:w="1585"/>
        <w:gridCol w:w="153"/>
      </w:tblGrid>
      <w:tr>
        <w:trPr/>
        <w:tc>
          <w:tcPr>
            <w:tcW w:w="6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53" w:type="dxa"/>
            <w:tcBorders/>
            <w:vAlign w:val="center"/>
          </w:tcPr>
          <w:p>
            <w:pPr>
              <w:pStyle w:val="TableContents"/>
              <w:bidi w:val="0"/>
              <w:spacing w:before="0" w:after="283"/>
              <w:jc w:val="left"/>
              <w:rPr/>
            </w:pPr>
            <w:r>
              <w:rPr/>
              <w:t> </w:t>
            </w:r>
          </w:p>
        </w:tc>
      </w:tr>
      <w:tr>
        <w:trPr/>
        <w:tc>
          <w:tcPr>
            <w:tcW w:w="60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3" w:type="dxa"/>
            <w:tcBorders/>
            <w:vAlign w:val="center"/>
          </w:tcPr>
          <w:p>
            <w:pPr>
              <w:pStyle w:val="TableContents"/>
              <w:bidi w:val="0"/>
              <w:spacing w:before="0" w:after="283"/>
              <w:jc w:val="left"/>
              <w:rPr/>
            </w:pPr>
            <w:r>
              <w:rPr/>
              <w:t> </w:t>
            </w:r>
          </w:p>
        </w:tc>
      </w:tr>
      <w:tr>
        <w:trPr/>
        <w:tc>
          <w:tcPr>
            <w:tcW w:w="601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946" w:type="dxa"/>
            <w:gridSpan w:val="6"/>
            <w:tcBorders/>
            <w:vAlign w:val="center"/>
          </w:tcPr>
          <w:p>
            <w:pPr>
              <w:pStyle w:val="TableContents"/>
              <w:bidi w:val="0"/>
              <w:spacing w:before="0" w:after="283"/>
              <w:jc w:val="center"/>
              <w:rPr>
                <w:b/>
              </w:rPr>
            </w:pPr>
            <w:r>
              <w:rPr>
                <w:b/>
              </w:rPr>
              <w:t>(dollar amounts in thousands, except per share data)</w:t>
            </w:r>
          </w:p>
        </w:tc>
        <w:tc>
          <w:tcPr>
            <w:tcW w:w="153" w:type="dxa"/>
            <w:tcBorders/>
            <w:vAlign w:val="center"/>
          </w:tcPr>
          <w:p>
            <w:pPr>
              <w:pStyle w:val="TableContents"/>
              <w:bidi w:val="0"/>
              <w:spacing w:before="0" w:after="283"/>
              <w:ind w:left="0" w:right="0" w:hanging="180"/>
              <w:jc w:val="left"/>
              <w:rPr/>
            </w:pPr>
            <w:r>
              <w:rPr/>
              <w:t> </w:t>
            </w:r>
          </w:p>
        </w:tc>
      </w:tr>
      <w:tr>
        <w:trPr/>
        <w:tc>
          <w:tcPr>
            <w:tcW w:w="6016"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585" w:type="dxa"/>
            <w:tcBorders/>
            <w:shd w:fill="CCEEFF" w:val="clear"/>
            <w:vAlign w:val="center"/>
          </w:tcPr>
          <w:p>
            <w:pPr>
              <w:pStyle w:val="TableContents"/>
              <w:bidi w:val="0"/>
              <w:spacing w:before="0" w:after="283"/>
              <w:jc w:val="right"/>
              <w:rPr/>
            </w:pPr>
            <w:r>
              <w:rPr/>
              <w:t>2,000</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585" w:type="dxa"/>
            <w:tcBorders/>
            <w:shd w:fill="CCEEFF" w:val="clear"/>
            <w:vAlign w:val="center"/>
          </w:tcPr>
          <w:p>
            <w:pPr>
              <w:pStyle w:val="TableContents"/>
              <w:bidi w:val="0"/>
              <w:spacing w:before="0" w:after="283"/>
              <w:jc w:val="right"/>
              <w:rPr/>
            </w:pPr>
            <w:r>
              <w:rPr/>
              <w:t>-</w:t>
            </w:r>
          </w:p>
        </w:tc>
        <w:tc>
          <w:tcPr>
            <w:tcW w:w="153" w:type="dxa"/>
            <w:tcBorders/>
            <w:shd w:fill="CCEEFF" w:val="clear"/>
            <w:vAlign w:val="center"/>
          </w:tcPr>
          <w:p>
            <w:pPr>
              <w:pStyle w:val="TableContents"/>
              <w:bidi w:val="0"/>
              <w:spacing w:before="0" w:after="283"/>
              <w:ind w:left="0" w:right="0" w:hanging="180"/>
              <w:jc w:val="left"/>
              <w:rPr/>
            </w:pPr>
            <w:r>
              <w:rPr/>
              <w:t> </w:t>
            </w:r>
          </w:p>
        </w:tc>
      </w:tr>
      <w:tr>
        <w:trPr/>
        <w:tc>
          <w:tcPr>
            <w:tcW w:w="6016"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5" w:type="dxa"/>
            <w:tcBorders>
              <w:bottom w:val="single" w:sz="12" w:space="0" w:color="000000"/>
            </w:tcBorders>
            <w:tcMar>
              <w:bottom w:w="28" w:type="dxa"/>
            </w:tcMar>
            <w:vAlign w:val="center"/>
          </w:tcPr>
          <w:p>
            <w:pPr>
              <w:pStyle w:val="TableContents"/>
              <w:bidi w:val="0"/>
              <w:spacing w:before="0" w:after="283"/>
              <w:jc w:val="right"/>
              <w:rPr/>
            </w:pPr>
            <w:r>
              <w:rPr/>
              <w:t>(1,987</w:t>
            </w:r>
          </w:p>
        </w:tc>
        <w:tc>
          <w:tcPr>
            <w:tcW w:w="17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5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53" w:type="dxa"/>
            <w:tcBorders/>
            <w:vAlign w:val="center"/>
          </w:tcPr>
          <w:p>
            <w:pPr>
              <w:pStyle w:val="TableContents"/>
              <w:bidi w:val="0"/>
              <w:spacing w:before="0" w:after="283"/>
              <w:ind w:left="0" w:right="0" w:hanging="180"/>
              <w:jc w:val="left"/>
              <w:rPr/>
            </w:pPr>
            <w:r>
              <w:rPr/>
              <w:t> </w:t>
            </w:r>
          </w:p>
        </w:tc>
      </w:tr>
      <w:tr>
        <w:trPr/>
        <w:tc>
          <w:tcPr>
            <w:tcW w:w="6016"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13</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w:t>
            </w:r>
          </w:p>
        </w:tc>
        <w:tc>
          <w:tcPr>
            <w:tcW w:w="153" w:type="dxa"/>
            <w:tcBorders/>
            <w:shd w:fill="CCEEFF" w:val="clear"/>
            <w:vAlign w:val="center"/>
          </w:tcPr>
          <w:p>
            <w:pPr>
              <w:pStyle w:val="TableContents"/>
              <w:bidi w:val="0"/>
              <w:spacing w:before="0" w:after="283"/>
              <w:ind w:left="0" w:right="0" w:hanging="180"/>
              <w:jc w:val="left"/>
              <w:rPr/>
            </w:pPr>
            <w:r>
              <w:rPr/>
              <w:t> </w:t>
            </w:r>
          </w:p>
        </w:tc>
      </w:tr>
      <w:tr>
        <w:trPr/>
        <w:tc>
          <w:tcPr>
            <w:tcW w:w="6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ind w:left="0" w:right="0" w:hanging="180"/>
              <w:jc w:val="left"/>
              <w:rPr/>
            </w:pPr>
            <w:r>
              <w:rPr/>
              <w:t> </w:t>
            </w:r>
          </w:p>
        </w:tc>
      </w:tr>
      <w:tr>
        <w:trPr/>
        <w:tc>
          <w:tcPr>
            <w:tcW w:w="6016"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(6,381</w:t>
            </w:r>
          </w:p>
        </w:tc>
        <w:tc>
          <w:tcPr>
            <w:tcW w:w="175"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(6,324</w:t>
            </w:r>
          </w:p>
        </w:tc>
        <w:tc>
          <w:tcPr>
            <w:tcW w:w="153" w:type="dxa"/>
            <w:tcBorders/>
            <w:shd w:fill="CCEEFF" w:val="clear"/>
            <w:vAlign w:val="center"/>
          </w:tcPr>
          <w:p>
            <w:pPr>
              <w:pStyle w:val="TableContents"/>
              <w:bidi w:val="0"/>
              <w:spacing w:before="0" w:after="283"/>
              <w:ind w:left="0" w:right="0" w:hanging="180"/>
              <w:jc w:val="left"/>
              <w:rPr/>
            </w:pPr>
            <w:r>
              <w:rPr/>
              <w:t>)</w:t>
            </w:r>
          </w:p>
        </w:tc>
      </w:tr>
      <w:tr>
        <w:trPr/>
        <w:tc>
          <w:tcPr>
            <w:tcW w:w="6016"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(8,720</w:t>
            </w:r>
          </w:p>
        </w:tc>
        <w:tc>
          <w:tcPr>
            <w:tcW w:w="17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(6,457</w:t>
            </w:r>
          </w:p>
        </w:tc>
        <w:tc>
          <w:tcPr>
            <w:tcW w:w="153" w:type="dxa"/>
            <w:tcBorders/>
            <w:vAlign w:val="center"/>
          </w:tcPr>
          <w:p>
            <w:pPr>
              <w:pStyle w:val="TableContents"/>
              <w:bidi w:val="0"/>
              <w:spacing w:before="0" w:after="283"/>
              <w:ind w:left="0" w:right="0" w:hanging="180"/>
              <w:jc w:val="left"/>
              <w:rPr/>
            </w:pPr>
            <w:r>
              <w:rPr/>
              <w:t>)</w:t>
            </w:r>
          </w:p>
        </w:tc>
      </w:tr>
      <w:tr>
        <w:trPr/>
        <w:tc>
          <w:tcPr>
            <w:tcW w:w="6016" w:type="dxa"/>
            <w:tcBorders/>
            <w:shd w:fill="CCEEFF" w:val="clear"/>
            <w:vAlign w:val="center"/>
          </w:tcPr>
          <w:p>
            <w:pPr>
              <w:pStyle w:val="TableContents"/>
              <w:bidi w:val="0"/>
              <w:spacing w:before="0" w:after="283"/>
              <w:jc w:val="left"/>
              <w:rPr/>
            </w:pPr>
            <w:r>
              <w:rPr/>
              <w:t>Other income, net</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958</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w:t>
            </w:r>
          </w:p>
        </w:tc>
        <w:tc>
          <w:tcPr>
            <w:tcW w:w="153" w:type="dxa"/>
            <w:tcBorders/>
            <w:shd w:fill="CCEEFF" w:val="clear"/>
            <w:vAlign w:val="center"/>
          </w:tcPr>
          <w:p>
            <w:pPr>
              <w:pStyle w:val="TableContents"/>
              <w:bidi w:val="0"/>
              <w:spacing w:before="0" w:after="283"/>
              <w:ind w:left="0" w:right="0" w:hanging="180"/>
              <w:jc w:val="left"/>
              <w:rPr/>
            </w:pPr>
            <w:r>
              <w:rPr/>
              <w:t> </w:t>
            </w:r>
          </w:p>
        </w:tc>
      </w:tr>
      <w:tr>
        <w:trPr/>
        <w:tc>
          <w:tcPr>
            <w:tcW w:w="6016" w:type="dxa"/>
            <w:tcBorders/>
            <w:vAlign w:val="center"/>
          </w:tcPr>
          <w:p>
            <w:pPr>
              <w:pStyle w:val="TableContents"/>
              <w:bidi w:val="0"/>
              <w:spacing w:before="0" w:after="283"/>
              <w:jc w:val="left"/>
              <w:rPr/>
            </w:pPr>
            <w:r>
              <w:rPr/>
              <w:t>Interest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(853</w:t>
            </w:r>
          </w:p>
        </w:tc>
        <w:tc>
          <w:tcPr>
            <w:tcW w:w="153" w:type="dxa"/>
            <w:tcBorders/>
            <w:vAlign w:val="center"/>
          </w:tcPr>
          <w:p>
            <w:pPr>
              <w:pStyle w:val="TableContents"/>
              <w:bidi w:val="0"/>
              <w:spacing w:before="0" w:after="283"/>
              <w:ind w:left="0" w:right="0" w:hanging="180"/>
              <w:jc w:val="left"/>
              <w:rPr/>
            </w:pPr>
            <w:r>
              <w:rPr/>
              <w:t>)</w:t>
            </w:r>
          </w:p>
        </w:tc>
      </w:tr>
      <w:tr>
        <w:trPr/>
        <w:tc>
          <w:tcPr>
            <w:tcW w:w="6016" w:type="dxa"/>
            <w:tcBorders/>
            <w:shd w:fill="CCEEFF" w:val="clear"/>
            <w:vAlign w:val="center"/>
          </w:tcPr>
          <w:p>
            <w:pPr>
              <w:pStyle w:val="TableContents"/>
              <w:bidi w:val="0"/>
              <w:spacing w:before="0" w:after="283"/>
              <w:jc w:val="left"/>
              <w:rPr/>
            </w:pPr>
            <w:r>
              <w:rPr/>
              <w:t>Financial income (expenses), net</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center"/>
          </w:tcPr>
          <w:p>
            <w:pPr>
              <w:pStyle w:val="TableContents"/>
              <w:bidi w:val="0"/>
              <w:spacing w:before="0" w:after="283"/>
              <w:jc w:val="right"/>
              <w:rPr/>
            </w:pPr>
            <w:r>
              <w:rPr/>
              <w:t>89,454</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center"/>
          </w:tcPr>
          <w:p>
            <w:pPr>
              <w:pStyle w:val="TableContents"/>
              <w:bidi w:val="0"/>
              <w:spacing w:before="0" w:after="283"/>
              <w:jc w:val="right"/>
              <w:rPr/>
            </w:pPr>
            <w:r>
              <w:rPr/>
              <w:t>(2,286</w:t>
            </w:r>
          </w:p>
        </w:tc>
        <w:tc>
          <w:tcPr>
            <w:tcW w:w="153" w:type="dxa"/>
            <w:tcBorders/>
            <w:shd w:fill="CCEEFF" w:val="clear"/>
            <w:vAlign w:val="center"/>
          </w:tcPr>
          <w:p>
            <w:pPr>
              <w:pStyle w:val="TableContents"/>
              <w:bidi w:val="0"/>
              <w:spacing w:before="0" w:after="283"/>
              <w:ind w:left="0" w:right="0" w:hanging="180"/>
              <w:jc w:val="left"/>
              <w:rPr/>
            </w:pPr>
            <w:r>
              <w:rPr/>
              <w:t>)</w:t>
            </w:r>
          </w:p>
        </w:tc>
      </w:tr>
      <w:tr>
        <w:trPr/>
        <w:tc>
          <w:tcPr>
            <w:tcW w:w="6016" w:type="dxa"/>
            <w:tcBorders/>
            <w:vAlign w:val="center"/>
          </w:tcPr>
          <w:p>
            <w:pPr>
              <w:pStyle w:val="TableContents"/>
              <w:bidi w:val="0"/>
              <w:spacing w:before="0" w:after="283"/>
              <w:jc w:val="left"/>
              <w:rPr/>
            </w:pPr>
            <w:r>
              <w:rPr/>
              <w:t>Income (loss) before tax expenses</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75,324</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(15,920</w:t>
            </w:r>
          </w:p>
        </w:tc>
        <w:tc>
          <w:tcPr>
            <w:tcW w:w="153" w:type="dxa"/>
            <w:tcBorders/>
            <w:vAlign w:val="center"/>
          </w:tcPr>
          <w:p>
            <w:pPr>
              <w:pStyle w:val="TableContents"/>
              <w:bidi w:val="0"/>
              <w:spacing w:before="0" w:after="283"/>
              <w:ind w:left="0" w:right="0" w:hanging="180"/>
              <w:jc w:val="left"/>
              <w:rPr/>
            </w:pPr>
            <w:r>
              <w:rPr/>
              <w:t>)</w:t>
            </w:r>
          </w:p>
        </w:tc>
      </w:tr>
      <w:tr>
        <w:trPr/>
        <w:tc>
          <w:tcPr>
            <w:tcW w:w="6016" w:type="dxa"/>
            <w:tcBorders/>
            <w:shd w:fill="CCEEFF" w:val="clear"/>
            <w:vAlign w:val="center"/>
          </w:tcPr>
          <w:p>
            <w:pPr>
              <w:pStyle w:val="TableContents"/>
              <w:bidi w:val="0"/>
              <w:spacing w:before="0" w:after="283"/>
              <w:jc w:val="left"/>
              <w:rPr/>
            </w:pPr>
            <w:r>
              <w:rPr/>
              <w:t>Tax expenses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center"/>
          </w:tcPr>
          <w:p>
            <w:pPr>
              <w:pStyle w:val="TableContents"/>
              <w:bidi w:val="0"/>
              <w:spacing w:before="0" w:after="283"/>
              <w:jc w:val="right"/>
              <w:rPr/>
            </w:pPr>
            <w:r>
              <w:rPr/>
              <w:t>(11,308</w:t>
            </w:r>
          </w:p>
        </w:tc>
        <w:tc>
          <w:tcPr>
            <w:tcW w:w="175"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85" w:type="dxa"/>
            <w:tcBorders>
              <w:bottom w:val="single" w:sz="12" w:space="0" w:color="000000"/>
            </w:tcBorders>
            <w:shd w:fill="CCEEFF" w:val="clear"/>
            <w:tcMar>
              <w:bottom w:w="28" w:type="dxa"/>
            </w:tcMar>
            <w:vAlign w:val="center"/>
          </w:tcPr>
          <w:p>
            <w:pPr>
              <w:pStyle w:val="TableContents"/>
              <w:bidi w:val="0"/>
              <w:spacing w:before="0" w:after="283"/>
              <w:jc w:val="right"/>
              <w:rPr/>
            </w:pPr>
            <w:r>
              <w:rPr/>
              <w:t>(3,183</w:t>
            </w:r>
          </w:p>
        </w:tc>
        <w:tc>
          <w:tcPr>
            <w:tcW w:w="153" w:type="dxa"/>
            <w:tcBorders/>
            <w:shd w:fill="CCEEFF" w:val="clear"/>
            <w:vAlign w:val="center"/>
          </w:tcPr>
          <w:p>
            <w:pPr>
              <w:pStyle w:val="TableContents"/>
              <w:bidi w:val="0"/>
              <w:spacing w:before="0" w:after="283"/>
              <w:ind w:left="0" w:right="0" w:hanging="180"/>
              <w:jc w:val="left"/>
              <w:rPr/>
            </w:pPr>
            <w:r>
              <w:rPr/>
              <w:t>)</w:t>
            </w:r>
          </w:p>
        </w:tc>
      </w:tr>
      <w:tr>
        <w:trPr/>
        <w:tc>
          <w:tcPr>
            <w:tcW w:w="6016" w:type="dxa"/>
            <w:tcBorders/>
            <w:vAlign w:val="center"/>
          </w:tcPr>
          <w:p>
            <w:pPr>
              <w:pStyle w:val="TableContents"/>
              <w:bidi w:val="0"/>
              <w:spacing w:before="0" w:after="283"/>
              <w:jc w:val="left"/>
              <w:rPr/>
            </w:pPr>
            <w:r>
              <w:rPr/>
              <w:t>Net income (loss) for the Year</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64,016</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(19,103</w:t>
            </w:r>
          </w:p>
        </w:tc>
        <w:tc>
          <w:tcPr>
            <w:tcW w:w="153" w:type="dxa"/>
            <w:tcBorders/>
            <w:vAlign w:val="center"/>
          </w:tcPr>
          <w:p>
            <w:pPr>
              <w:pStyle w:val="TableContents"/>
              <w:bidi w:val="0"/>
              <w:spacing w:before="0" w:after="283"/>
              <w:ind w:left="0" w:right="0" w:hanging="180"/>
              <w:jc w:val="left"/>
              <w:rPr/>
            </w:pPr>
            <w:r>
              <w:rPr/>
              <w:t>)</w:t>
            </w:r>
          </w:p>
        </w:tc>
      </w:tr>
      <w:tr>
        <w:trPr/>
        <w:tc>
          <w:tcPr>
            <w:tcW w:w="60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ind w:left="0" w:right="0" w:hanging="180"/>
              <w:jc w:val="left"/>
              <w:rPr/>
            </w:pPr>
            <w:r>
              <w:rPr/>
              <w:t> </w:t>
            </w:r>
          </w:p>
        </w:tc>
      </w:tr>
      <w:tr>
        <w:trPr/>
        <w:tc>
          <w:tcPr>
            <w:tcW w:w="6016" w:type="dxa"/>
            <w:tcBorders/>
            <w:vAlign w:val="center"/>
          </w:tcPr>
          <w:p>
            <w:pPr>
              <w:pStyle w:val="TableContents"/>
              <w:bidi w:val="0"/>
              <w:spacing w:before="0" w:after="283"/>
              <w:jc w:val="left"/>
              <w:rPr/>
            </w:pPr>
            <w:r>
              <w:rPr/>
              <w:t>Net income (loss) attributable to:</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ind w:left="0" w:right="0" w:hanging="180"/>
              <w:jc w:val="left"/>
              <w:rPr/>
            </w:pPr>
            <w:r>
              <w:rPr/>
              <w:t> </w:t>
            </w:r>
          </w:p>
        </w:tc>
      </w:tr>
      <w:tr>
        <w:trPr/>
        <w:tc>
          <w:tcPr>
            <w:tcW w:w="6016" w:type="dxa"/>
            <w:tcBorders/>
            <w:shd w:fill="CCEEFF" w:val="clear"/>
            <w:vAlign w:val="center"/>
          </w:tcPr>
          <w:p>
            <w:pPr>
              <w:pStyle w:val="TableContents"/>
              <w:bidi w:val="0"/>
              <w:spacing w:before="0" w:after="283"/>
              <w:jc w:val="left"/>
              <w:rPr/>
            </w:pPr>
            <w:r>
              <w:rPr/>
              <w:t>Non-controlling interest</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(34</w:t>
            </w:r>
          </w:p>
        </w:tc>
        <w:tc>
          <w:tcPr>
            <w:tcW w:w="175"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(43</w:t>
            </w:r>
          </w:p>
        </w:tc>
        <w:tc>
          <w:tcPr>
            <w:tcW w:w="153" w:type="dxa"/>
            <w:tcBorders/>
            <w:shd w:fill="CCEEFF" w:val="clear"/>
            <w:vAlign w:val="center"/>
          </w:tcPr>
          <w:p>
            <w:pPr>
              <w:pStyle w:val="TableContents"/>
              <w:bidi w:val="0"/>
              <w:spacing w:before="0" w:after="283"/>
              <w:ind w:left="0" w:right="0" w:hanging="180"/>
              <w:jc w:val="left"/>
              <w:rPr/>
            </w:pPr>
            <w:r>
              <w:rPr/>
              <w:t>)</w:t>
            </w:r>
          </w:p>
        </w:tc>
      </w:tr>
      <w:tr>
        <w:trPr/>
        <w:tc>
          <w:tcPr>
            <w:tcW w:w="6016" w:type="dxa"/>
            <w:tcBorders/>
            <w:vAlign w:val="center"/>
          </w:tcPr>
          <w:p>
            <w:pPr>
              <w:pStyle w:val="TableContents"/>
              <w:bidi w:val="0"/>
              <w:spacing w:before="0" w:after="283"/>
              <w:jc w:val="left"/>
              <w:rPr/>
            </w:pPr>
            <w:r>
              <w:rPr/>
              <w:t>Company’s stockholders</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64,050</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(19,060</w:t>
            </w:r>
          </w:p>
        </w:tc>
        <w:tc>
          <w:tcPr>
            <w:tcW w:w="153" w:type="dxa"/>
            <w:tcBorders/>
            <w:vAlign w:val="center"/>
          </w:tcPr>
          <w:p>
            <w:pPr>
              <w:pStyle w:val="TableContents"/>
              <w:bidi w:val="0"/>
              <w:spacing w:before="0" w:after="283"/>
              <w:ind w:left="0" w:right="0" w:hanging="180"/>
              <w:jc w:val="left"/>
              <w:rPr/>
            </w:pPr>
            <w:r>
              <w:rPr/>
              <w:t>)</w:t>
            </w:r>
          </w:p>
        </w:tc>
      </w:tr>
      <w:tr>
        <w:trPr/>
        <w:tc>
          <w:tcPr>
            <w:tcW w:w="601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 </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585" w:type="dxa"/>
            <w:tcBorders/>
            <w:shd w:fill="CCEEFF" w:val="clear"/>
            <w:vAlign w:val="center"/>
          </w:tcPr>
          <w:p>
            <w:pPr>
              <w:pStyle w:val="TableContents"/>
              <w:bidi w:val="0"/>
              <w:spacing w:before="0" w:after="283"/>
              <w:jc w:val="right"/>
              <w:rPr/>
            </w:pPr>
            <w:r>
              <w:rPr/>
              <w:t> </w:t>
            </w:r>
          </w:p>
        </w:tc>
        <w:tc>
          <w:tcPr>
            <w:tcW w:w="153" w:type="dxa"/>
            <w:tcBorders/>
            <w:shd w:fill="CCEEFF" w:val="clear"/>
            <w:vAlign w:val="center"/>
          </w:tcPr>
          <w:p>
            <w:pPr>
              <w:pStyle w:val="TableContents"/>
              <w:bidi w:val="0"/>
              <w:spacing w:before="0" w:after="283"/>
              <w:ind w:left="0" w:right="0" w:hanging="180"/>
              <w:jc w:val="left"/>
              <w:rPr/>
            </w:pPr>
            <w:r>
              <w:rPr/>
              <w:t> </w:t>
            </w:r>
          </w:p>
        </w:tc>
      </w:tr>
      <w:tr>
        <w:trPr/>
        <w:tc>
          <w:tcPr>
            <w:tcW w:w="6016" w:type="dxa"/>
            <w:tcBorders/>
            <w:vAlign w:val="center"/>
          </w:tcPr>
          <w:p>
            <w:pPr>
              <w:pStyle w:val="TableContents"/>
              <w:bidi w:val="0"/>
              <w:spacing w:before="0" w:after="283"/>
              <w:jc w:val="left"/>
              <w:rPr/>
            </w:pPr>
            <w:r>
              <w:rPr/>
              <w:t>Basic income (loss) per share of common stock</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1.53</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(0.48</w:t>
            </w:r>
          </w:p>
        </w:tc>
        <w:tc>
          <w:tcPr>
            <w:tcW w:w="153" w:type="dxa"/>
            <w:tcBorders/>
            <w:vAlign w:val="center"/>
          </w:tcPr>
          <w:p>
            <w:pPr>
              <w:pStyle w:val="TableContents"/>
              <w:bidi w:val="0"/>
              <w:spacing w:before="0" w:after="283"/>
              <w:ind w:left="0" w:right="0" w:hanging="180"/>
              <w:jc w:val="left"/>
              <w:rPr/>
            </w:pPr>
            <w:r>
              <w:rPr/>
              <w:t>)</w:t>
            </w:r>
          </w:p>
        </w:tc>
      </w:tr>
      <w:tr>
        <w:trPr/>
        <w:tc>
          <w:tcPr>
            <w:tcW w:w="6016" w:type="dxa"/>
            <w:tcBorders/>
            <w:shd w:fill="CCEEFF" w:val="clear"/>
            <w:vAlign w:val="center"/>
          </w:tcPr>
          <w:p>
            <w:pPr>
              <w:pStyle w:val="TableContents"/>
              <w:bidi w:val="0"/>
              <w:spacing w:before="0" w:after="283"/>
              <w:jc w:val="left"/>
              <w:rPr/>
            </w:pPr>
            <w:r>
              <w:rPr/>
              <w:t>Diluted income (loss) per share of common stock</w:t>
            </w:r>
          </w:p>
        </w:tc>
        <w:tc>
          <w:tcPr>
            <w:tcW w:w="90"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5" w:type="dxa"/>
            <w:tcBorders>
              <w:bottom w:val="double" w:sz="10" w:space="0" w:color="000000"/>
            </w:tcBorders>
            <w:shd w:fill="CCEEFF" w:val="clear"/>
            <w:tcMar>
              <w:bottom w:w="28" w:type="dxa"/>
            </w:tcMar>
            <w:vAlign w:val="center"/>
          </w:tcPr>
          <w:p>
            <w:pPr>
              <w:pStyle w:val="TableContents"/>
              <w:bidi w:val="0"/>
              <w:spacing w:before="0" w:after="283"/>
              <w:jc w:val="right"/>
              <w:rPr/>
            </w:pPr>
            <w:r>
              <w:rPr/>
              <w:t>1.50</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85" w:type="dxa"/>
            <w:tcBorders>
              <w:bottom w:val="double" w:sz="10" w:space="0" w:color="000000"/>
            </w:tcBorders>
            <w:shd w:fill="CCEEFF" w:val="clear"/>
            <w:tcMar>
              <w:bottom w:w="28" w:type="dxa"/>
            </w:tcMar>
            <w:vAlign w:val="center"/>
          </w:tcPr>
          <w:p>
            <w:pPr>
              <w:pStyle w:val="TableContents"/>
              <w:bidi w:val="0"/>
              <w:spacing w:before="0" w:after="283"/>
              <w:jc w:val="right"/>
              <w:rPr/>
            </w:pPr>
            <w:r>
              <w:rPr/>
              <w:t>(0.48</w:t>
            </w:r>
          </w:p>
        </w:tc>
        <w:tc>
          <w:tcPr>
            <w:tcW w:w="153" w:type="dxa"/>
            <w:tcBorders/>
            <w:shd w:fill="CCEEFF" w:val="clear"/>
            <w:vAlign w:val="center"/>
          </w:tcPr>
          <w:p>
            <w:pPr>
              <w:pStyle w:val="TableContents"/>
              <w:bidi w:val="0"/>
              <w:spacing w:before="0" w:after="283"/>
              <w:ind w:left="0" w:right="0" w:hanging="180"/>
              <w:jc w:val="left"/>
              <w:rPr/>
            </w:pPr>
            <w:r>
              <w:rPr/>
              <w:t>)</w:t>
            </w:r>
          </w:p>
        </w:tc>
      </w:tr>
      <w:tr>
        <w:trPr/>
        <w:tc>
          <w:tcPr>
            <w:tcW w:w="60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 </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585" w:type="dxa"/>
            <w:tcBorders/>
            <w:vAlign w:val="center"/>
          </w:tcPr>
          <w:p>
            <w:pPr>
              <w:pStyle w:val="TableContents"/>
              <w:bidi w:val="0"/>
              <w:spacing w:before="0" w:after="283"/>
              <w:jc w:val="right"/>
              <w:rPr/>
            </w:pPr>
            <w:r>
              <w:rPr/>
              <w:t> </w:t>
            </w:r>
          </w:p>
        </w:tc>
        <w:tc>
          <w:tcPr>
            <w:tcW w:w="153" w:type="dxa"/>
            <w:tcBorders/>
            <w:vAlign w:val="center"/>
          </w:tcPr>
          <w:p>
            <w:pPr>
              <w:pStyle w:val="TableContents"/>
              <w:bidi w:val="0"/>
              <w:spacing w:before="0" w:after="283"/>
              <w:ind w:left="0" w:right="0" w:hanging="180"/>
              <w:jc w:val="left"/>
              <w:rPr/>
            </w:pPr>
            <w:r>
              <w:rPr/>
              <w:t> </w:t>
            </w:r>
          </w:p>
        </w:tc>
      </w:tr>
      <w:tr>
        <w:trPr/>
        <w:tc>
          <w:tcPr>
            <w:tcW w:w="6016" w:type="dxa"/>
            <w:tcBorders/>
            <w:shd w:fill="CCEEFF" w:val="clear"/>
            <w:vAlign w:val="center"/>
          </w:tcPr>
          <w:p>
            <w:pPr>
              <w:pStyle w:val="TableContents"/>
              <w:bidi w:val="0"/>
              <w:spacing w:before="0" w:after="283"/>
              <w:jc w:val="left"/>
              <w:rPr/>
            </w:pPr>
            <w:r>
              <w:rPr/>
              <w:t>Weighted average number of shares of common stock used in computing basic income (loss) per share of common stock</w:t>
            </w:r>
          </w:p>
        </w:tc>
        <w:tc>
          <w:tcPr>
            <w:tcW w:w="90"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shd w:fill="CCEEFF" w:val="clear"/>
            <w:tcMar>
              <w:bottom w:w="28" w:type="dxa"/>
            </w:tcMar>
            <w:vAlign w:val="center"/>
          </w:tcPr>
          <w:p>
            <w:pPr>
              <w:pStyle w:val="TableContents"/>
              <w:bidi w:val="0"/>
              <w:spacing w:before="0" w:after="283"/>
              <w:jc w:val="right"/>
              <w:rPr/>
            </w:pPr>
            <w:r>
              <w:rPr/>
              <w:t>41,402,997</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shd w:fill="CCEEFF" w:val="clear"/>
            <w:tcMar>
              <w:bottom w:w="28" w:type="dxa"/>
            </w:tcMar>
            <w:vAlign w:val="center"/>
          </w:tcPr>
          <w:p>
            <w:pPr>
              <w:pStyle w:val="TableContents"/>
              <w:bidi w:val="0"/>
              <w:spacing w:before="0" w:after="283"/>
              <w:jc w:val="right"/>
              <w:rPr/>
            </w:pPr>
            <w:r>
              <w:rPr/>
              <w:t>40,850,446</w:t>
            </w:r>
          </w:p>
        </w:tc>
        <w:tc>
          <w:tcPr>
            <w:tcW w:w="153" w:type="dxa"/>
            <w:tcBorders/>
            <w:shd w:fill="CCEEFF" w:val="clear"/>
            <w:vAlign w:val="center"/>
          </w:tcPr>
          <w:p>
            <w:pPr>
              <w:pStyle w:val="TableContents"/>
              <w:bidi w:val="0"/>
              <w:spacing w:before="0" w:after="283"/>
              <w:ind w:left="0" w:right="0" w:hanging="180"/>
              <w:jc w:val="left"/>
              <w:rPr/>
            </w:pPr>
            <w:r>
              <w:rPr/>
              <w:t> </w:t>
            </w:r>
          </w:p>
        </w:tc>
      </w:tr>
      <w:tr>
        <w:trPr/>
        <w:tc>
          <w:tcPr>
            <w:tcW w:w="6016" w:type="dxa"/>
            <w:tcBorders/>
            <w:vAlign w:val="center"/>
          </w:tcPr>
          <w:p>
            <w:pPr>
              <w:pStyle w:val="TableContents"/>
              <w:bidi w:val="0"/>
              <w:spacing w:before="0" w:after="283"/>
              <w:jc w:val="left"/>
              <w:rPr/>
            </w:pPr>
            <w:r>
              <w:rPr/>
              <w:t>Weighted average number of shares of common stock used in computing diluted income (loss) per share of common stock</w:t>
            </w:r>
          </w:p>
        </w:tc>
        <w:tc>
          <w:tcPr>
            <w:tcW w:w="90"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42,418,644</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3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85" w:type="dxa"/>
            <w:tcBorders>
              <w:bottom w:val="double" w:sz="10" w:space="0" w:color="000000"/>
            </w:tcBorders>
            <w:tcMar>
              <w:bottom w:w="28" w:type="dxa"/>
            </w:tcMar>
            <w:vAlign w:val="center"/>
          </w:tcPr>
          <w:p>
            <w:pPr>
              <w:pStyle w:val="TableContents"/>
              <w:bidi w:val="0"/>
              <w:spacing w:before="0" w:after="283"/>
              <w:jc w:val="right"/>
              <w:rPr/>
            </w:pPr>
            <w:r>
              <w:rPr/>
              <w:t>40,850,446</w:t>
            </w:r>
          </w:p>
        </w:tc>
        <w:tc>
          <w:tcPr>
            <w:tcW w:w="153"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2015, we entered into a Technology License Agreement, with HTIT and on December 21, 2015, the parties entered into an Amended and Restated Technology License Agreement that was further amended by the parties on June 3, 2016 and July 24, 2016 or, the “HTIT License Agreement”. On February 7, 2025, we and HTIT entered into the JV Agreement, amending the Initial JV Agreement. Pursuant to the terms of the JV Agreement, we and HTIT irrevocably agreed to the mutual release and waiver of (i) any claims and demands against each party in connection with the HTIT License Agreement, and (ii) all rights, obligations and liabilities set out and arising with respect to the performance of the HTIT License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$2,000,000 revenue related to the HTIT License Agreement for the year ended December 31, 2025, while there were no revenues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we received approval from Israel Innovation Authority or, the “IIA”, to transfer all of our IIA-funded technology to OraTech in accordance with the terms of the JV Agreement. This approval was granted upon the condition that we pay the aggregate IIA grant amount, plus accrued interest, less all royalties paid to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2025, we fulfilled our payment obligation by remitting approximately $2,046,000 to the IIA, and as result we have no further obligations to the IIA. $1,987,000 of the amount is recognized in cost of revenue for the year ended December 31, 2025. The amount of $59,000 was recognized in previous periods. There were no costs of revenue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include costs directly attributable to the conduct of research and development programs, including the cost of salaries, employee benefits, costs of materials, supplies, the cost of services provided by outside contractors, including services related to our clinical trials, clinical trial expenses, the full cost of manufacturing drugs for use in research and preclinical development. All costs associated with research and development are expensed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and preclinical trial expenses include regulatory and scientific consultants’ compensation and fees, research expenses, purchase of materials, cost of manufacturing of the oral insulin and exenatide capsules, payments for patient recruitment and treatment, as well as salaries and related expenses of research and development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year ended December 31, 2025 decreased by 1% to approximately $6,381,000, compared to approximately $6,324,000 for the year ended December 31, 2024. The decrease was primarily attributable to lower raw materials expenses, which was partially offset by an increase in CRO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Grants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Government of Israel encourages research and development projects through the IIA, pursuant to the R&amp;D Law. Under the R&amp;D Law, a research and development plan that meets specified criteria is generally eligible for a grant of up to 50% of certain approved research and development expenditures. Each plan must be approved by the IIA.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R&amp;D Law generally requires that a product developed under a program be manufactured in Israel. However, when applying for a grant, the applicant may declare that part of the manufacturing will be performed outside of Israel or by non-Israeli residents and if the IIA is convinced that performing some of the manufacturing abroad is essential for the execution of the program, it may still approve the grant. This declaration will be a significant factor in the determination of the IIA as to whether to approve a program and the amount and other terms of the benefits to be granted. If a company wants to increase the volume of manufacturing outside of Israel after the grant has been approved, it may transfer up to 10% of the company’s approved Israeli manufacturing volume, measured on an aggregate basis, outside of Israel after first notifying the IIA thereof (provided that the IIA does not object to such transfer within 30 days). In addition, upon the approval of the IIA, a portion greater than 10% of the manufacturing volume may be performed outside of Israel. In any case of transfer of manufacturing out of Israel, the grant recipient is required to pay royalties at an increased rate, which may be substantial, and the aggregate repayment amount is increased up to 120% or 150% of the grant received (dollar linked) with the addition of interest at an annual rate based on the SOFR rate, depending on the portion of the total manufacturing volume that is performed outside of Israel. The approval we received from the IIA for the License Agreement was subject to payment of increased royalties and an increased ceiling, all in accordance with the provisions of the R&amp;D Law. The R&amp;D Law further permits the IIA, among other things, to approve the transfer of manufacturing rights outside of Israel in exchange for the import of different manufacturing into Israel as a substitute, in lieu of the increased royalties.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R&amp;D Law also provides that know-how developed under an approved research and development program and any derivatives thereof may not be transferred or licensed to third parties in Israel without the approval of the research committee, which approval may be subject to the payment of royalties from the sale. Such approval is not required for the sale or export of any products resulting from such research or development. The R&amp;D Law further provides that the know-how developed under an approved research and development program and any derivatives thereof may not be transferred or licensed to any third parties outside Israel absent IIA approval which may be granted in certain circumstances as follows: (a) the grant recipient pays to the IIA a portion of the sale or license price paid in consideration for the purchase or license of such IIA-funded know-how or the price paid in consideration for the sale of the grant recipient itself, as the case may be, in accordance with certain formulas included in the tracks published under the R&amp;D Law; (b) the grant recipient receives know-how from a third party in exchange for its IIA-funded know-how; or (c) such transfer of IIA-funded know-how is made in the context of IIA approved research and development cooperation projects or consortia.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R&amp;D Law imposes reporting requirements with respect to certain changes in the ownership of a grant recipient. The R&amp;D Law requires the grant recipient to notify the IIA of any change in control of the recipient or a change in the holdings of the means of control of the recipient that results in a non-Israeli entity or person becoming an interested party in the recipient, and requires the new non-Israeli interested party to undertake to the IIA to comply with the R&amp;D Law. In addition, the rules of the IIA may require the provision of additional information or representations in respect of certain such events. For this purpose, “control” is defined as the ability to direct the activities of a company other than any ability arising solely from serving as an officer or director of the company. A person is presumed to have control if such person holds 50% or more of the means of control of a company. “Means of control” refers to voting rights or the right to appoint directors or the chief executive officer. An “interested party” of a company includes a holder of 5% or more of its outstanding share capital or voting rights, its chief executive officer and directors, someone who has the right to appoint its chief executive officer or at least one director, and a company with respect to which any of the foregoing interested parties holds 25% or more of the outstanding share capital or voting rights or has the right to appoint 25% or more of the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43</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the R&amp;D Law’s requirements may subject us to mandatory repayment of grants received by us (together with interest and penalties), as well as expose us to criminal proceedings. In addition, the Israeli government may from time to time audit sales of products which it claims incorporate technology funded through IIA programs which may lead to additional royalties being payable on additional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funding from the IIA, royalties of 3% are payable on sales of products developed from a project so funded, up to a maximum amount equaling 100%-150% of the grants received (dollar linked) with the addition of interest at an annual rate based on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grants were received before the year ended August 31, 2020, and recorded as a reduction of research and development expenses at that time. At the time the grants were received, successful development of the related projects was not assured. The total amount that was received through December 31, 2025, was approximately $2,213,000 ($2,570,000 including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the salaries and related expenses of our management, consulting expenses, legal and professional fees, travel expenses, business development expenses, insurance expenses and other general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year ended December 31, 2025 increased by 35% to approximately $8,720,000, compared to approximately $6,457,000 for the year ended December 31, 2024. The increase was mainly due to an increase in stock-based compensation expenses and an increase in professional fees, which were partially offset by a decrease in D&amp;O insurance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interest expenses for the year ended December 31, 2025, compared to approximately $853,000 for the year ended December 31, 2024, since the Short-Term Borrowings (as defined below) received from Discount Bank Ltd. were terminated during the second quarter of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Income,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income was approximately $89,454,000 for the year ended December 31, 2025, compared to approximately $3,139,000 net financial expenses for the year ended December 31, 2024. The increase was primarily due to the revaluation of the investment in Alpha Tau and Scilex.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tax expenses on income of approximately $11,308,000, compared to tax expenses on income of approximately $3,183,000 for year ended December 31, 2024. The increase in tax expense is primarily attributable to deferred tax expenses of approximately $8,095,000, mainly related to our investment in Alpha Tau, while the current tax expense is primarily attributable to Scilex.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44</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inception through December 31, 2025, we have incurred losses in an aggregate amount of approximately $123,436,000. During that period and through December 31, 2025, we have financed our operations through several private placements of our common stock, as well as public offerings of our common stock, raising a total of approximately $255,384,000, net of transaction costs. During that period, we also received cash consideration of approximately $28,001,000 from the exercise of warrants and options. We expect to seek additional financing through similar sources in the future, as needed. As of December 31, 2025, we had approximately $45,947,000 of available cash and approximately $10,979,000 of short-term bank deposits. In addition, we hold various of interest in certain investments, including in Scilex, Alpha Tau, Hapisga and others, as further detailed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through December 31, 2025, we have not generated significant revenues from our operations (other than recognizing deferred revenue related to the HTIT License Agreement, as described above). Although, we have increased the research and development activities related to the new Phase 3 clinical trial, our research and development activities have been significantly reduced while we conducted a strategic review process, following the termination of the ORA-D-013-1 and ORA-D-013-2 Phase 3 trials. Following the preparation and expected initiation of the revised oral insulin clinical trial, we expect to incur increased research and development expenses in future periods, and we will need substantial additional funds. These expenses will be incurred through OraTech, as part of the Lifeward transaction. For additional information regarding see note 21 to our consolidated financial statements included in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additional financing may not be available on acceptable terms, if at all, including due to the difficult conditions in the capital markets. If we are unable to secure additional financing, we may be required to reduce our operations, divest certain assets, or take other measures that could materially adversely affect our reputation,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cash resources and commitments, we believe we will be able to maintain our current planned activities and the corresponding level of expenditures for at least the next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2023, we borrowed an aggregate of $99,550,000 pursuant to loan agreements from Israel Discount Bank Ltd or, the “Short-Term Borrowings”. The Short-Term Borrowings mature on dates ranging from August 11, 2023 to May 24, 2024, bear interest ranging from 6.66% to 7.38%, were secured by certificates of deposits issued by Israel Discount Bank Ltd. having an aggregate face amount of $99,550,000. The net proceeds of the Short-Term Borrowings were used to fund the Tranche A Note. The Short-Term Borrowings were paid in one payment of principal and interest at each respective maturity. As of December 31, 2025, we repaid the entire Short-Term Borrowings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45</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total current assets were approximately $133,271,000 and our total current liabilities were approximately $19,086,000. On December 31, 2025, we had a working capital surplus of approximately $114,185,000 and an accumulated loss of approximately $123,436,000. As of December 31, 2024, our total current assets were approximately $143,221,000 and our total current liabilities were approximately $5,685,000. On December 31, 2024, we had a working capital surplus of approximately $137,536,000 and an accumulated loss of approximately $176,616,000. The decrease in working capital surplus was mainly due to dividends payable together with a decrease in cash and cash equivalents and short-term deposits that was partially offset by an increase in investments at fair value and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cash and cash equivalents decreased to approximately $45,947,000 from approximately $54,420,000 as of December 31, 2024. The decrease was mainly due to the reasons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 used cash of approximately $9,145,000 in the year ended December 31, 2025, compared to approximately $8,412,000 used in the year ended December 31, 2024. Cash used in operating activities primarily consisted of research and development expenses, and 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provided cash of approximately $5,443,000 in the year ended December 31, 2025, compared to approximately $105,817,000 provided in the year ended December 31, 2024. Cash provided by investing activities in the year ended December 31, 2025 consisted primarily of proceeds from short-term deposits and proceeds from repayments by Scilex, partially offset by purchase of short-term deposits and investments at fair value in Alpha Tau, Hapisga, Lifeward and marketable securities. Cash provided by investing activities in the year ended December 31, 2024, consisted primarily of proceeds from short-term deposits and proceeds from repayments by Scilex under the Tranche A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used cash of approximately $4,741,000 in the year ended December 31, 2025, compared to cash of approximately $52,036,000 used in the year ended December 31, 2024. Cash used for financing activities in the year ended December 31, 2025, consisted primarily of purchase of treasury shares. Cash used in financing activities in the year ended December 31, 2024, consisted primarily of repayments of the Short-Term Borrowings and repurchases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financing activities for the year ended December 31, 2025,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2024, our Board authorized a stock buyback and retirement program pursuant to which we may, from time to time, repurchase up to $20,000,000 in maximum value of our common stock. Share repurchases may be executed through various means, including, without limitation, open market transactions, privately negotiated transactions or otherwise in compliance with Rule 10b-18 under the Exchange Act or, the “Buy-Back Program”. The Buy-Back Program does not obligate us to purchase any shares and expires in 12 months. The authorization for the Buy-Back Program may be terminated, increased or decreased by our Board in its discretion at any time. On May 21, 2025, our board of directors authorized a one-year extension of the Buy-Back Program, which was set to expire in June 2026.</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2025 and 2024, we have repurchased and retired shares of our common stock under the Buy-Back Program. In 2025, we repurchased 899,609 shares for $2,155, including $6 of excise tax, at an average price of $2.39 per share and in 2024, we repurchased 1,036,976 shares for $2,494, including $10 of excise tax, at an average price of $2.4 per share. All repurchases were funded with cash on hand.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October 20, 2025, we entered a separate share repurchase agreement with HTIT pursuant to which HTIT sold back to us 1,155,367 shares of common stock at a purchase price of $2.23 per share for an aggregate price of $2,584,000, including $8 of excise tax. Following such repurchase, the shares were cancelled and retired.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46</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we are examining our existing pipeline and have commenced an evaluation process of potential strategic opportunities, with the goal of enhancing value for our stockholders. At this time, we cannot foresee how these strategic decisions will impact our financial results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Planned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previous years, we primarily invested in research and development. If we proceed to conduct a new clinical trial for our oral insulin candidate, we expect that in the upcoming years our research and development expenses will continue to be our major operating expense; however, if this clinical trial is conducted through OraTech, these costs will be borne by OraTech and not by us. In addition, consistent with our broader corporate strategy, we may allocate capital to selected strategic initiatives and collaborations intended to support long-term growth and diversification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more fully described in the notes to our accompanying consolidated financial statements. We believe that the accounting policy below is critical for one to fully understand and evaluate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is based on our consolidated financial statements, which we prepared in accordance with U.S. generally accepted accounting principles, or GAAP. The preparation of our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and expenses during the reporting periods. On an ongoing basis, we evaluate such estimates and judgments.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Investments at fair value</w:t>
      </w:r>
      <w:r>
        <w:rPr>
          <w:rFonts w:ascii="Times New Roman;Times;Serif" w:hAnsi="Times New Roman;Times;Serif"/>
          <w:b w:val="false"/>
          <w:i w:val="false"/>
          <w:caps w:val="false"/>
          <w:smallCaps w:val="false"/>
          <w:sz w:val="20"/>
        </w:rPr>
        <w:t>: On September 21, 2023 and on October 7, 2024 we entered into the 2023 Scilex Transaction and 2024 Refinancing, respectively. We elected the fair value option for each of the components under 2023 Scilex Transaction and 2024 Refinancing in order to reduce operational complexity of bifurcating embedded derivatives. Changes in value are recorded under financial income, net and include interest income on the Notes and Royalties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Determining the fair value of the components above required significant judgment with regards to the expected repayment date of the Notes. The total value of the 2023 Scilex Transaction (and of each of its components) was valued on a weighted average of the different scenarios.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47</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we entered into a loan agreement to finance a real estate project or the Profit Sharing Loan Agreement. We decided to designate the Profit Sharing Loan Agreement as a whole under the fair-value option. The valuation of the Profit Sharing Loan Agreement was based on various project profit scenarios derived from the appraiser’s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we entered into a loan agreement to finance a real estate project, Hapisga. We decided to designate the loan agreement as a whole under the fair-value option. The valuation of the loan agreement was calculated in accordance with the weighted average expected cashflows of the loan.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we entered into a share purchase agreement and a services agreement with Alpha Tau (“Alpha Tau SPA”, “Services Agreement”). We decided to designate the Alpha Tau SPA and the Services Agreement as a whole under the fair-value option. The valuation of the Alpha Tau SPA was determined using the closing price of Alpha Tau’s ordinary shares, and the fair value of the warrants issued under the Services Agreement are calculated based on Black-Scholes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we entered into a secured note with Lifeward, pursuant to which Lifeward borrowed $3,000,000. The valuation of the note was determined using a binomial model.</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as defined by Rule 12b-2 of the Securities Exchange Act of 1934 we are not required to provide information required by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15 of this Annual Report on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evaluated the effectiveness of our disclosure controls and procedures as of December 31, 2025. Based upon that evaluation, our Chief Executive Officer and Chief Financial Officer concluded that our disclosure controls and procedures are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48</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supervision of our Chief Executive Officer and Chief Financial Officer, is responsible for establishing and maintaining adequate internal control over our financial reporting, as defined in Rules 13a-15(f) and 15d-15(f) promulgated under the Exchange Act. The Company’s internal control over financial reporting is defined as a process designed to provide reasonable assurance regarding the reliability of financial reporting and the preparation of financial statements for external purposes in accordance with GAAP. Internal control over financial reporting includes policies and procedures that:</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pertain to the maintenance of records that in reasonable detail accurately and fairly reflect our transactions and asset dispositions;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that transactions are recorded as necessary to permit the preparation of our financial statements in accordance with GAAP, and that our receipts and expenditures are being made only in accordance with authorizations of our management and directors;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reasonable assurance regarding the prevention or timely detection of unauthorized acquisition, use or disposition of assets that could have a material effect on our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evaluated the effectiveness of our internal control over financial reporting as of December 31, 2025 based on the current framework for Internal Control-Integrated Framework (2013) set forth by The Committee of Sponsoring Organizations of the Treadway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evaluation, our management concluded that the Company’s internal control over financial reporting was effective as of December 31, 2025 at a reasonable assurance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quarter ended December 31,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10b5-1 Trading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fiscal quarter ended December 31, 2025, none of the Company’s directors or officers (as defined in Rule 16a-1(f) of the Exchange Act) adopted or terminated a “Rule 10b5-1 trading arrangement” or a “non-Rule 10b5-1 trading arrangement” (as each term is defined in Item 408(a)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49</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age of each of our directors and executive officers, his or her position with us and the period during which such person has served as a director or executive officer of the Company are set forth below.</w:t>
      </w:r>
    </w:p>
    <w:p>
      <w:pPr>
        <w:pStyle w:val="TextBody"/>
        <w:bidi w:val="0"/>
        <w:spacing w:before="0" w:after="0"/>
        <w:ind w:left="0" w:right="0" w:firstLine="720"/>
        <w:jc w:val="both"/>
        <w:rPr>
          <w:caps w:val="false"/>
          <w:smallCaps w:val="false"/>
        </w:rPr>
      </w:pPr>
      <w:r>
        <w:rPr>
          <w:caps w:val="false"/>
          <w:smallCaps w:val="false"/>
        </w:rPr>
        <w:t> </w:t>
      </w:r>
    </w:p>
    <w:tbl>
      <w:tblPr>
        <w:tblW w:w="8345" w:type="dxa"/>
        <w:jc w:val="left"/>
        <w:tblInd w:w="0" w:type="dxa"/>
        <w:tblLayout w:type="fixed"/>
        <w:tblCellMar>
          <w:top w:w="0" w:type="dxa"/>
          <w:left w:w="0" w:type="dxa"/>
          <w:bottom w:w="28" w:type="dxa"/>
          <w:right w:w="0" w:type="dxa"/>
        </w:tblCellMar>
      </w:tblPr>
      <w:tblGrid>
        <w:gridCol w:w="1565"/>
        <w:gridCol w:w="90"/>
        <w:gridCol w:w="380"/>
        <w:gridCol w:w="90"/>
        <w:gridCol w:w="4790"/>
        <w:gridCol w:w="90"/>
        <w:gridCol w:w="1205"/>
        <w:gridCol w:w="135"/>
      </w:tblGrid>
      <w:tr>
        <w:trPr/>
        <w:tc>
          <w:tcPr>
            <w:tcW w:w="15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center"/>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center"/>
              <w:rPr/>
            </w:pPr>
            <w:r>
              <w:rPr/>
              <w:t> </w:t>
            </w:r>
          </w:p>
        </w:tc>
        <w:tc>
          <w:tcPr>
            <w:tcW w:w="47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c>
          <w:tcPr>
            <w:tcW w:w="90" w:type="dxa"/>
            <w:tcBorders/>
            <w:tcMar>
              <w:bottom w:w="0" w:type="dxa"/>
            </w:tcMar>
            <w:vAlign w:val="center"/>
          </w:tcPr>
          <w:p>
            <w:pPr>
              <w:pStyle w:val="TableContents"/>
              <w:bidi w:val="0"/>
              <w:spacing w:before="0" w:after="283"/>
              <w:jc w:val="center"/>
              <w:rPr/>
            </w:pPr>
            <w:r>
              <w:rPr/>
              <w:t> </w:t>
            </w:r>
          </w:p>
        </w:tc>
        <w:tc>
          <w:tcPr>
            <w:tcW w:w="12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Serving Since</w:t>
            </w:r>
          </w:p>
        </w:tc>
        <w:tc>
          <w:tcPr>
            <w:tcW w:w="135" w:type="dxa"/>
            <w:tcBorders/>
            <w:tcMar>
              <w:bottom w:w="0" w:type="dxa"/>
            </w:tcMar>
            <w:vAlign w:val="center"/>
          </w:tcPr>
          <w:p>
            <w:pPr>
              <w:pStyle w:val="TableContents"/>
              <w:bidi w:val="0"/>
              <w:spacing w:before="0" w:after="283"/>
              <w:jc w:val="center"/>
              <w:rPr/>
            </w:pPr>
            <w:r>
              <w:rPr/>
              <w:t> </w:t>
            </w:r>
          </w:p>
        </w:tc>
      </w:tr>
      <w:tr>
        <w:trPr/>
        <w:tc>
          <w:tcPr>
            <w:tcW w:w="15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Nadav Kidron</w:t>
            </w:r>
          </w:p>
        </w:tc>
        <w:tc>
          <w:tcPr>
            <w:tcW w:w="90" w:type="dxa"/>
            <w:tcBorders/>
            <w:shd w:fill="CCEEFF" w:val="clear"/>
            <w:tcMar>
              <w:bottom w:w="0" w:type="dxa"/>
            </w:tcMar>
            <w:vAlign w:val="center"/>
          </w:tcPr>
          <w:p>
            <w:pPr>
              <w:pStyle w:val="TableContents"/>
              <w:bidi w:val="0"/>
              <w:spacing w:before="0" w:after="283"/>
              <w:jc w:val="both"/>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c>
          <w:tcPr>
            <w:tcW w:w="90" w:type="dxa"/>
            <w:tcBorders/>
            <w:shd w:fill="CCEEFF" w:val="clear"/>
            <w:tcMar>
              <w:bottom w:w="0" w:type="dxa"/>
            </w:tcMar>
            <w:vAlign w:val="center"/>
          </w:tcPr>
          <w:p>
            <w:pPr>
              <w:pStyle w:val="TableContents"/>
              <w:bidi w:val="0"/>
              <w:spacing w:before="0" w:after="283"/>
              <w:jc w:val="both"/>
              <w:rPr/>
            </w:pPr>
            <w:r>
              <w:rPr/>
              <w:t> </w:t>
            </w:r>
          </w:p>
        </w:tc>
        <w:tc>
          <w:tcPr>
            <w:tcW w:w="47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President, Chief Executive Officer, Director and Chairman </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t>
            </w:r>
          </w:p>
        </w:tc>
        <w:tc>
          <w:tcPr>
            <w:tcW w:w="135" w:type="dxa"/>
            <w:tcBorders/>
            <w:shd w:fill="CCEEFF" w:val="clear"/>
            <w:tcMar>
              <w:bottom w:w="0" w:type="dxa"/>
            </w:tcMar>
            <w:vAlign w:val="center"/>
          </w:tcPr>
          <w:p>
            <w:pPr>
              <w:pStyle w:val="TableContents"/>
              <w:bidi w:val="0"/>
              <w:spacing w:before="0" w:after="283"/>
              <w:jc w:val="both"/>
              <w:rPr/>
            </w:pPr>
            <w:r>
              <w:rPr/>
              <w:t> </w:t>
            </w:r>
          </w:p>
        </w:tc>
      </w:tr>
      <w:tr>
        <w:trPr/>
        <w:tc>
          <w:tcPr>
            <w:tcW w:w="15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Miriam Kidron</w:t>
            </w:r>
          </w:p>
        </w:tc>
        <w:tc>
          <w:tcPr>
            <w:tcW w:w="90" w:type="dxa"/>
            <w:tcBorders/>
            <w:tcMar>
              <w:bottom w:w="0" w:type="dxa"/>
            </w:tcMar>
            <w:vAlign w:val="center"/>
          </w:tcPr>
          <w:p>
            <w:pPr>
              <w:pStyle w:val="TableContents"/>
              <w:bidi w:val="0"/>
              <w:spacing w:before="0" w:after="283"/>
              <w:jc w:val="both"/>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w:t>
            </w:r>
          </w:p>
        </w:tc>
        <w:tc>
          <w:tcPr>
            <w:tcW w:w="90" w:type="dxa"/>
            <w:tcBorders/>
            <w:tcMar>
              <w:bottom w:w="0" w:type="dxa"/>
            </w:tcMar>
            <w:vAlign w:val="center"/>
          </w:tcPr>
          <w:p>
            <w:pPr>
              <w:pStyle w:val="TableContents"/>
              <w:bidi w:val="0"/>
              <w:spacing w:before="0" w:after="283"/>
              <w:jc w:val="both"/>
              <w:rPr/>
            </w:pPr>
            <w:r>
              <w:rPr/>
              <w:t> </w:t>
            </w:r>
          </w:p>
        </w:tc>
        <w:tc>
          <w:tcPr>
            <w:tcW w:w="47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Scientific Officer and Director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2006</w:t>
            </w:r>
          </w:p>
        </w:tc>
        <w:tc>
          <w:tcPr>
            <w:tcW w:w="135" w:type="dxa"/>
            <w:tcBorders/>
            <w:tcMar>
              <w:bottom w:w="0" w:type="dxa"/>
            </w:tcMar>
            <w:vAlign w:val="center"/>
          </w:tcPr>
          <w:p>
            <w:pPr>
              <w:pStyle w:val="TableContents"/>
              <w:bidi w:val="0"/>
              <w:spacing w:before="0" w:after="283"/>
              <w:jc w:val="both"/>
              <w:rPr/>
            </w:pPr>
            <w:r>
              <w:rPr/>
              <w:t> </w:t>
            </w:r>
          </w:p>
        </w:tc>
      </w:tr>
      <w:tr>
        <w:trPr/>
        <w:tc>
          <w:tcPr>
            <w:tcW w:w="15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Avraham Gabay</w:t>
            </w:r>
          </w:p>
        </w:tc>
        <w:tc>
          <w:tcPr>
            <w:tcW w:w="90" w:type="dxa"/>
            <w:tcBorders/>
            <w:shd w:fill="CCEEFF" w:val="clear"/>
            <w:tcMar>
              <w:bottom w:w="0" w:type="dxa"/>
            </w:tcMar>
            <w:vAlign w:val="center"/>
          </w:tcPr>
          <w:p>
            <w:pPr>
              <w:pStyle w:val="TableContents"/>
              <w:bidi w:val="0"/>
              <w:spacing w:before="0" w:after="283"/>
              <w:jc w:val="both"/>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both"/>
              <w:rPr/>
            </w:pPr>
            <w:r>
              <w:rPr/>
              <w:t> </w:t>
            </w:r>
          </w:p>
        </w:tc>
        <w:tc>
          <w:tcPr>
            <w:tcW w:w="47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 and Treasurer</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35" w:type="dxa"/>
            <w:tcBorders/>
            <w:shd w:fill="CCEEFF" w:val="clear"/>
            <w:tcMar>
              <w:bottom w:w="0" w:type="dxa"/>
            </w:tcMar>
            <w:vAlign w:val="center"/>
          </w:tcPr>
          <w:p>
            <w:pPr>
              <w:pStyle w:val="TableContents"/>
              <w:bidi w:val="0"/>
              <w:spacing w:before="0" w:after="283"/>
              <w:jc w:val="both"/>
              <w:rPr/>
            </w:pPr>
            <w:r>
              <w:rPr/>
              <w:t> </w:t>
            </w:r>
          </w:p>
        </w:tc>
      </w:tr>
      <w:tr>
        <w:trPr/>
        <w:tc>
          <w:tcPr>
            <w:tcW w:w="15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Joshua Hexter</w:t>
            </w:r>
          </w:p>
        </w:tc>
        <w:tc>
          <w:tcPr>
            <w:tcW w:w="90" w:type="dxa"/>
            <w:tcBorders/>
            <w:tcMar>
              <w:bottom w:w="0" w:type="dxa"/>
            </w:tcMar>
            <w:vAlign w:val="center"/>
          </w:tcPr>
          <w:p>
            <w:pPr>
              <w:pStyle w:val="TableContents"/>
              <w:bidi w:val="0"/>
              <w:spacing w:before="0" w:after="283"/>
              <w:jc w:val="both"/>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c>
          <w:tcPr>
            <w:tcW w:w="90" w:type="dxa"/>
            <w:tcBorders/>
            <w:tcMar>
              <w:bottom w:w="0" w:type="dxa"/>
            </w:tcMar>
            <w:vAlign w:val="center"/>
          </w:tcPr>
          <w:p>
            <w:pPr>
              <w:pStyle w:val="TableContents"/>
              <w:bidi w:val="0"/>
              <w:spacing w:before="0" w:after="283"/>
              <w:jc w:val="both"/>
              <w:rPr/>
            </w:pPr>
            <w:r>
              <w:rPr/>
              <w:t> </w:t>
            </w:r>
          </w:p>
        </w:tc>
        <w:tc>
          <w:tcPr>
            <w:tcW w:w="47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Operating &amp; Business Officer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w:t>
            </w:r>
          </w:p>
        </w:tc>
        <w:tc>
          <w:tcPr>
            <w:tcW w:w="135" w:type="dxa"/>
            <w:tcBorders/>
            <w:tcMar>
              <w:bottom w:w="0" w:type="dxa"/>
            </w:tcMar>
            <w:vAlign w:val="center"/>
          </w:tcPr>
          <w:p>
            <w:pPr>
              <w:pStyle w:val="TableContents"/>
              <w:bidi w:val="0"/>
              <w:spacing w:before="0" w:after="283"/>
              <w:jc w:val="both"/>
              <w:rPr/>
            </w:pPr>
            <w:r>
              <w:rPr/>
              <w:t> </w:t>
            </w:r>
          </w:p>
        </w:tc>
      </w:tr>
      <w:tr>
        <w:trPr/>
        <w:tc>
          <w:tcPr>
            <w:tcW w:w="15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Daniel Aghion</w:t>
            </w:r>
          </w:p>
        </w:tc>
        <w:tc>
          <w:tcPr>
            <w:tcW w:w="90" w:type="dxa"/>
            <w:tcBorders/>
            <w:shd w:fill="CCEEFF" w:val="clear"/>
            <w:tcMar>
              <w:bottom w:w="0" w:type="dxa"/>
            </w:tcMar>
            <w:vAlign w:val="center"/>
          </w:tcPr>
          <w:p>
            <w:pPr>
              <w:pStyle w:val="TableContents"/>
              <w:bidi w:val="0"/>
              <w:spacing w:before="0" w:after="283"/>
              <w:jc w:val="both"/>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both"/>
              <w:rPr/>
            </w:pPr>
            <w:r>
              <w:rPr/>
              <w:t> </w:t>
            </w:r>
          </w:p>
        </w:tc>
        <w:tc>
          <w:tcPr>
            <w:tcW w:w="47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35" w:type="dxa"/>
            <w:tcBorders/>
            <w:shd w:fill="CCEEFF" w:val="clear"/>
            <w:tcMar>
              <w:bottom w:w="0" w:type="dxa"/>
            </w:tcMar>
            <w:vAlign w:val="center"/>
          </w:tcPr>
          <w:p>
            <w:pPr>
              <w:pStyle w:val="TableContents"/>
              <w:bidi w:val="0"/>
              <w:spacing w:before="0" w:after="283"/>
              <w:jc w:val="both"/>
              <w:rPr/>
            </w:pPr>
            <w:r>
              <w:rPr/>
              <w:t> </w:t>
            </w:r>
          </w:p>
        </w:tc>
      </w:tr>
      <w:tr>
        <w:trPr/>
        <w:tc>
          <w:tcPr>
            <w:tcW w:w="15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 Arie Mayer</w:t>
            </w:r>
          </w:p>
        </w:tc>
        <w:tc>
          <w:tcPr>
            <w:tcW w:w="90" w:type="dxa"/>
            <w:tcBorders/>
            <w:tcMar>
              <w:bottom w:w="0" w:type="dxa"/>
            </w:tcMar>
            <w:vAlign w:val="center"/>
          </w:tcPr>
          <w:p>
            <w:pPr>
              <w:pStyle w:val="TableContents"/>
              <w:bidi w:val="0"/>
              <w:spacing w:before="0" w:after="283"/>
              <w:jc w:val="both"/>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90" w:type="dxa"/>
            <w:tcBorders/>
            <w:tcMar>
              <w:bottom w:w="0" w:type="dxa"/>
            </w:tcMar>
            <w:vAlign w:val="center"/>
          </w:tcPr>
          <w:p>
            <w:pPr>
              <w:pStyle w:val="TableContents"/>
              <w:bidi w:val="0"/>
              <w:spacing w:before="0" w:after="283"/>
              <w:jc w:val="both"/>
              <w:rPr/>
            </w:pPr>
            <w:r>
              <w:rPr/>
              <w:t> </w:t>
            </w:r>
          </w:p>
        </w:tc>
        <w:tc>
          <w:tcPr>
            <w:tcW w:w="47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2019</w:t>
            </w:r>
          </w:p>
        </w:tc>
        <w:tc>
          <w:tcPr>
            <w:tcW w:w="135" w:type="dxa"/>
            <w:tcBorders/>
            <w:tcMar>
              <w:bottom w:w="0" w:type="dxa"/>
            </w:tcMar>
            <w:vAlign w:val="center"/>
          </w:tcPr>
          <w:p>
            <w:pPr>
              <w:pStyle w:val="TableContents"/>
              <w:bidi w:val="0"/>
              <w:spacing w:before="0" w:after="283"/>
              <w:jc w:val="both"/>
              <w:rPr/>
            </w:pPr>
            <w:r>
              <w:rPr/>
              <w:t> </w:t>
            </w:r>
          </w:p>
        </w:tc>
      </w:tr>
      <w:tr>
        <w:trPr/>
        <w:tc>
          <w:tcPr>
            <w:tcW w:w="15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Yehuda Reznick</w:t>
            </w:r>
          </w:p>
        </w:tc>
        <w:tc>
          <w:tcPr>
            <w:tcW w:w="90" w:type="dxa"/>
            <w:tcBorders/>
            <w:shd w:fill="CCEEFF" w:val="clear"/>
            <w:tcMar>
              <w:bottom w:w="0" w:type="dxa"/>
            </w:tcMar>
            <w:vAlign w:val="center"/>
          </w:tcPr>
          <w:p>
            <w:pPr>
              <w:pStyle w:val="TableContents"/>
              <w:bidi w:val="0"/>
              <w:spacing w:before="0" w:after="283"/>
              <w:jc w:val="both"/>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w:t>
            </w:r>
          </w:p>
        </w:tc>
        <w:tc>
          <w:tcPr>
            <w:tcW w:w="90" w:type="dxa"/>
            <w:tcBorders/>
            <w:shd w:fill="CCEEFF" w:val="clear"/>
            <w:tcMar>
              <w:bottom w:w="0" w:type="dxa"/>
            </w:tcMar>
            <w:vAlign w:val="center"/>
          </w:tcPr>
          <w:p>
            <w:pPr>
              <w:pStyle w:val="TableContents"/>
              <w:bidi w:val="0"/>
              <w:spacing w:before="0" w:after="283"/>
              <w:jc w:val="both"/>
              <w:rPr/>
            </w:pPr>
            <w:r>
              <w:rPr/>
              <w:t> </w:t>
            </w:r>
          </w:p>
        </w:tc>
        <w:tc>
          <w:tcPr>
            <w:tcW w:w="479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2024</w:t>
            </w:r>
          </w:p>
        </w:tc>
        <w:tc>
          <w:tcPr>
            <w:tcW w:w="135" w:type="dxa"/>
            <w:tcBorders/>
            <w:shd w:fill="CCEEFF" w:val="clear"/>
            <w:tcMar>
              <w:bottom w:w="0" w:type="dxa"/>
            </w:tcMar>
            <w:vAlign w:val="center"/>
          </w:tcPr>
          <w:p>
            <w:pPr>
              <w:pStyle w:val="TableContents"/>
              <w:bidi w:val="0"/>
              <w:spacing w:before="0" w:after="283"/>
              <w:jc w:val="both"/>
              <w:rPr/>
            </w:pPr>
            <w:r>
              <w:rPr/>
              <w:t> </w:t>
            </w:r>
          </w:p>
        </w:tc>
      </w:tr>
      <w:tr>
        <w:trPr/>
        <w:tc>
          <w:tcPr>
            <w:tcW w:w="1565"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Benjamin Shapiro</w:t>
            </w:r>
          </w:p>
        </w:tc>
        <w:tc>
          <w:tcPr>
            <w:tcW w:w="90" w:type="dxa"/>
            <w:tcBorders/>
            <w:tcMar>
              <w:bottom w:w="0" w:type="dxa"/>
            </w:tcMar>
            <w:vAlign w:val="center"/>
          </w:tcPr>
          <w:p>
            <w:pPr>
              <w:pStyle w:val="TableContents"/>
              <w:bidi w:val="0"/>
              <w:spacing w:before="0" w:after="283"/>
              <w:jc w:val="both"/>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both"/>
              <w:rPr/>
            </w:pPr>
            <w:r>
              <w:rPr/>
              <w:t> </w:t>
            </w:r>
          </w:p>
        </w:tc>
        <w:tc>
          <w:tcPr>
            <w:tcW w:w="479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c>
          <w:tcPr>
            <w:tcW w:w="90" w:type="dxa"/>
            <w:tcBorders/>
            <w:tcMar>
              <w:bottom w:w="0" w:type="dxa"/>
            </w:tcMar>
            <w:vAlign w:val="center"/>
          </w:tcPr>
          <w:p>
            <w:pPr>
              <w:pStyle w:val="TableContents"/>
              <w:bidi w:val="0"/>
              <w:spacing w:before="0" w:after="283"/>
              <w:jc w:val="both"/>
              <w:rPr/>
            </w:pPr>
            <w:r>
              <w:rPr/>
              <w:t> </w:t>
            </w:r>
          </w:p>
        </w:tc>
        <w:tc>
          <w:tcPr>
            <w:tcW w:w="12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2023</w:t>
            </w:r>
          </w:p>
        </w:tc>
        <w:tc>
          <w:tcPr>
            <w:tcW w:w="13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Nadav Kidron</w:t>
      </w:r>
      <w:r>
        <w:rPr>
          <w:rFonts w:ascii="Times New Roman;Times;Serif" w:hAnsi="Times New Roman;Times;Serif"/>
          <w:b w:val="false"/>
          <w:i w:val="false"/>
          <w:caps w:val="false"/>
          <w:smallCaps w:val="false"/>
          <w:sz w:val="20"/>
        </w:rPr>
        <w:t> was appointed </w:t>
      </w:r>
      <w:r>
        <w:rPr>
          <w:rFonts w:ascii="Times New Roman;Times;Serif" w:hAnsi="Times New Roman;Times;Serif"/>
          <w:b/>
          <w:i/>
          <w:caps w:val="false"/>
          <w:smallCaps w:val="false"/>
          <w:sz w:val="20"/>
        </w:rPr>
        <w:t>President, Chief Executive Officer and director</w:t>
      </w:r>
      <w:r>
        <w:rPr>
          <w:rFonts w:ascii="Times New Roman;Times;Serif" w:hAnsi="Times New Roman;Times;Serif"/>
          <w:b w:val="false"/>
          <w:i w:val="false"/>
          <w:caps w:val="false"/>
          <w:smallCaps w:val="false"/>
          <w:sz w:val="20"/>
        </w:rPr>
        <w:t xml:space="preserve"> in March 2006, and </w:t>
      </w:r>
      <w:r>
        <w:rPr>
          <w:rFonts w:ascii="Times New Roman;Times;Serif" w:hAnsi="Times New Roman;Times;Serif"/>
          <w:b/>
          <w:i/>
          <w:caps w:val="false"/>
          <w:smallCaps w:val="false"/>
          <w:sz w:val="20"/>
        </w:rPr>
        <w:t>Chairman of the Board</w:t>
      </w:r>
      <w:r>
        <w:rPr>
          <w:rFonts w:ascii="Times New Roman;Times;Serif" w:hAnsi="Times New Roman;Times;Serif"/>
          <w:b w:val="false"/>
          <w:i w:val="false"/>
          <w:caps w:val="false"/>
          <w:smallCaps w:val="false"/>
          <w:sz w:val="20"/>
        </w:rPr>
        <w:t xml:space="preserve"> effective as of June 30, 2022. He is also Chairman of the board of MDG Real Estate Global, Ltd., director of Alpha Tau Medical Ltd., director of Israel Advanced Technology Industries organization and until 2016 was a director of Entera Bio Ltd. In 2009, he was a fellow at the Merage Foundation for U.S.-Israel Trade Programs for executives in the life sciences field. From 2003 to 2006, he was the managing director of the Institute of Advanced Jewish Studies at Bar Ilan University. From 2001 to 2003, he was a legal intern at Wine, Mishaiker &amp; Ernstoff Law Offices in Jerusalem, Israel. Mr. Kidron holds an LL.B. and an International MBA from Bar Ilan University,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Kidron’s qualifications to serve on our Board include his familiarity with the Company as its founder, his experience in capital markets, as well as his knowledge and familiarity with corporate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Miriam Kidron </w:t>
      </w:r>
      <w:r>
        <w:rPr>
          <w:rFonts w:ascii="Times New Roman;Times;Serif" w:hAnsi="Times New Roman;Times;Serif"/>
          <w:b w:val="false"/>
          <w:i w:val="false"/>
          <w:caps w:val="false"/>
          <w:smallCaps w:val="false"/>
          <w:sz w:val="20"/>
        </w:rPr>
        <w:t>was appointed </w:t>
      </w:r>
      <w:r>
        <w:rPr>
          <w:rFonts w:ascii="Times New Roman;Times;Serif" w:hAnsi="Times New Roman;Times;Serif"/>
          <w:b/>
          <w:i/>
          <w:caps w:val="false"/>
          <w:smallCaps w:val="false"/>
          <w:sz w:val="20"/>
        </w:rPr>
        <w:t>Chief Scientific Officer and director</w:t>
      </w:r>
      <w:r>
        <w:rPr>
          <w:rFonts w:ascii="Times New Roman;Times;Serif" w:hAnsi="Times New Roman;Times;Serif"/>
          <w:b w:val="false"/>
          <w:i w:val="false"/>
          <w:caps w:val="false"/>
          <w:smallCaps w:val="false"/>
          <w:sz w:val="20"/>
        </w:rPr>
        <w:t> in March 2006. Dr. Kidron is a pharmacologist and a biochemist with a Ph.D. in biochemistry. From 1990 to 2007, Dr. Kidron was a senior researcher in the Diabetes Unit at Hadassah University Hospital in Jerusalem, Israel. Dr. Kidron was formerly a visiting professor at the Medical School at the University of Toronto (Canada), and is a member of the American, European and Israeli Diabetes Associations. Dr. Kidron is a recipient of the Bern Schlanger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Dr. Kidron’s qualifications to serve on our Board include her expertise in the Company’s technology, as it is based on her research, as well as her experience and relevant education in the fields of pharmacology and diabetes.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50</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Avraham Gabay</w:t>
      </w:r>
      <w:r>
        <w:rPr>
          <w:rFonts w:ascii="Times New Roman;Times;Serif" w:hAnsi="Times New Roman;Times;Serif"/>
          <w:b w:val="false"/>
          <w:i w:val="false"/>
          <w:caps w:val="false"/>
          <w:smallCaps w:val="false"/>
          <w:sz w:val="20"/>
        </w:rPr>
        <w:t> was appointed </w:t>
      </w:r>
      <w:r>
        <w:rPr>
          <w:rFonts w:ascii="Times New Roman;Times;Serif" w:hAnsi="Times New Roman;Times;Serif"/>
          <w:b/>
          <w:i/>
          <w:caps w:val="false"/>
          <w:smallCaps w:val="false"/>
          <w:sz w:val="20"/>
        </w:rPr>
        <w:t xml:space="preserve">Chief Financial Officer, Treasurer and Secretary </w:t>
      </w:r>
      <w:r>
        <w:rPr>
          <w:rFonts w:ascii="Times New Roman;Times;Serif" w:hAnsi="Times New Roman;Times;Serif"/>
          <w:b w:val="false"/>
          <w:i w:val="false"/>
          <w:caps w:val="false"/>
          <w:smallCaps w:val="false"/>
          <w:sz w:val="20"/>
        </w:rPr>
        <w:t>in June 2024. Prior to his appointment, Mr. Gabay served as interim chief financial officer of BiomX Inc. (NYSE American: PHGE) during 2023. From 2021 until 2023, Mr. Gabay served as the chief financial officer at Oravax Inc., a 63% owned subsidiary of the Company. From 2019 until 2021, Mr. Gabay was the chief financial officer of the Company. From 2015 to 2019, Mr. Gabay served as VP Finance at Orcam Technologies Ltd. From 2014 to 2015, Mr. Gabay provided economic services in the advisory department of KPMG Israel, a certified public accounting firm, and from 2013 to 2014, he worked in the tax department of the law firm Gornitzky &amp; Co. In addition, Mr. Gabay serves as a director on the board of Sade Real Estate YS Ltd. (TASE: SADE). Mr. Gabay holds a bachelor’s degree in law and accounting (magna cum-laude) from Tel-Aviv University, an MBA in healthcare innovation from Reichman University and is a certified public accountant in Israel and a member of the Israeli Bar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Mr. Joshua Hexter</w:t>
      </w:r>
      <w:r>
        <w:rPr>
          <w:rFonts w:ascii="Times New Roman;Times;Serif" w:hAnsi="Times New Roman;Times;Serif"/>
          <w:b w:val="false"/>
          <w:i w:val="false"/>
          <w:caps w:val="false"/>
          <w:smallCaps w:val="false"/>
          <w:sz w:val="20"/>
        </w:rPr>
        <w:t> was appointed </w:t>
      </w:r>
      <w:r>
        <w:rPr>
          <w:rFonts w:ascii="Times New Roman;Times;Serif" w:hAnsi="Times New Roman;Times;Serif"/>
          <w:b/>
          <w:i/>
          <w:caps w:val="false"/>
          <w:smallCaps w:val="false"/>
          <w:sz w:val="20"/>
        </w:rPr>
        <w:t>Chief Operating and Business Officer</w:t>
      </w:r>
      <w:r>
        <w:rPr>
          <w:rFonts w:ascii="Times New Roman;Times;Serif" w:hAnsi="Times New Roman;Times;Serif"/>
          <w:b w:val="false"/>
          <w:i w:val="false"/>
          <w:caps w:val="false"/>
          <w:smallCaps w:val="false"/>
          <w:sz w:val="20"/>
        </w:rPr>
        <w:t xml:space="preserve"> in September 2019. Mr. Hexter has been affiliated with Oramed since 2013, initially serving as Chief Operating Officer and VP Business Development from 2013 to 2018, and returning to the Company in his current role in 2019. In the intervening period, Mr. Hexter served as Chief Business Officer at BrainsWay Ltd. (Nasdaq/TASE: BWAY) from 2018 to 2019, a commercial stage medical device company focused on the development and sale of non-invasive neuromodulation products. Prior to that, Mr. Hexter was Executive Director at BioLineRx Ltd. (Nasdaq/TASE: BLRX) from 2007 to 2013, a biopharmaceutical development company dedicated to identifying, in-licensing and developing innovative therapeutic candidates. Prior to his employment with BioLineRx, Mr. Hexter was Chief Executive Officer of Biosensor Systems Design, Inc., a company developing market-driven biosensors. Mr. Hexter holds a bachelor’s degree from the University of Wisconsin and a master’s degree in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Daniel Aghion</w:t>
      </w:r>
      <w:r>
        <w:rPr>
          <w:rFonts w:ascii="Times New Roman;Times;Serif" w:hAnsi="Times New Roman;Times;Serif"/>
          <w:b w:val="false"/>
          <w:i w:val="false"/>
          <w:caps w:val="false"/>
          <w:smallCaps w:val="false"/>
          <w:sz w:val="20"/>
        </w:rPr>
        <w:t xml:space="preserve"> became a </w:t>
      </w:r>
      <w:r>
        <w:rPr>
          <w:rFonts w:ascii="Times New Roman;Times;Serif" w:hAnsi="Times New Roman;Times;Serif"/>
          <w:b/>
          <w:i/>
          <w:caps w:val="false"/>
          <w:smallCaps w:val="false"/>
          <w:sz w:val="20"/>
        </w:rPr>
        <w:t xml:space="preserve">director </w:t>
      </w:r>
      <w:r>
        <w:rPr>
          <w:rFonts w:ascii="Times New Roman;Times;Serif" w:hAnsi="Times New Roman;Times;Serif"/>
          <w:b w:val="false"/>
          <w:i w:val="false"/>
          <w:caps w:val="false"/>
          <w:smallCaps w:val="false"/>
          <w:sz w:val="20"/>
        </w:rPr>
        <w:t>in January 2024. Dr. Aghion has been a neurosurgeon at Memorial Neuroscience Institute in Florida since 2016, where he treats patients with a wide array of spine disorders, including severe degenerative spine diseases, spine trauma, cancer in the spine, spine tumors, peripheral nerve surgery and more. Dr. Aghion holds a Bachelor of Science degree from the University of Michigan and an MD from the Sackler School of Medicine at Tel Aviv University. He completed his residency at Rhode Island Hospital in 2015, and a complex spine fellowship at Johns Hopkins University in Baltimore in 2016.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Dr. Aghion’s qualifications to serve on the Board include his extensive practical and academic medical background.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Arie Mayer</w:t>
      </w:r>
      <w:r>
        <w:rPr>
          <w:rFonts w:ascii="Times New Roman;Times;Serif" w:hAnsi="Times New Roman;Times;Serif"/>
          <w:b w:val="false"/>
          <w:i w:val="false"/>
          <w:caps w:val="false"/>
          <w:smallCaps w:val="false"/>
          <w:sz w:val="20"/>
        </w:rPr>
        <w:t xml:space="preserve"> became a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xml:space="preserve"> in December 2019. Dr. Mayer is currently the Managing Director and Chairman of the Board of Sigma-Aldrich Israel Ltd. and has held that position since January 2010. Dr. Mayer has held various roles with Sigma-Aldrich Israel Ltd. since 1995 and was instrumental in introducing and developing the Cell Culture and Molecular Biology business for Sigma Aldrich Israel Ltd. Dr. Mayer holds a Bachelor of Science degree in chemistry from Hebrew University and a Ph.D. in biochemistry from Israel Institute of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Dr. Mayer’s qualifications to serve on our Board include his experience as an executive in the biotechnology industry, with knowledge in managing large organizations, as well as his experience and relevant education in the fields of chemistry and biochemistry.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Yehuda Reznick </w:t>
      </w:r>
      <w:r>
        <w:rPr>
          <w:rFonts w:ascii="Times New Roman;Times;Serif" w:hAnsi="Times New Roman;Times;Serif"/>
          <w:b w:val="false"/>
          <w:i w:val="false"/>
          <w:caps w:val="false"/>
          <w:smallCaps w:val="false"/>
          <w:sz w:val="20"/>
        </w:rPr>
        <w:t xml:space="preserve">became a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xml:space="preserve"> in April 2024. Mr. Reznick served as an audit partner at Kesselman &amp; Kesselman CPA, a member of PricewaterhouseCoopers International Limited, from 1999 until 2014. Prior to joining Kesselman &amp; Kesselman, he was a tax and audit partner at Shachak, Peer Reznick CPA for sixteen years. Since 2019, Mr. Reznick has also served on the board of directors of Hiron-Trade Investments &amp; Industrial Buildings Ltd (TASE: HRON). Mr. Reznick previously served on the board of directors of Bonus Biogroup Ltd (OTC: BBIXF) from 2017 to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Reznick’s qualifications to serve on the Board include his extensive operational experience and his business background and acumen.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Benjamin Shapiro </w:t>
      </w:r>
      <w:r>
        <w:rPr>
          <w:rFonts w:ascii="Times New Roman;Times;Serif" w:hAnsi="Times New Roman;Times;Serif"/>
          <w:b w:val="false"/>
          <w:i w:val="false"/>
          <w:caps w:val="false"/>
          <w:smallCaps w:val="false"/>
          <w:sz w:val="20"/>
        </w:rPr>
        <w:t xml:space="preserve">became a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xml:space="preserve"> in May 2023. Mr. Shapiro is a successful entrepreneur and business professional who co-founded The Daily Wire, a successful, industry leading, international media outlet in June 2015. Since May 2015, he has been host of “The Ben Shapiro Show,” a popular podcast, and he is the author of numerous New York Times best-selling books. Mr. Shapiro earned a B.A. in Political Science from UCLA in 2004, summa cum laude, and a law degree from Harvard Law School in 2007, cum laude.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Mr. Shapiro’s qualifications to serve on the Board include his extensive operational experience and his business background and acumen.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any of the directors or officers identified above and any other person pursuant to which he was selected as a director or officer. None of the directors or officers identified above is, or has been, a participant in any transaction involving the Company, and is not a participant in any proposed transaction with the Company, in each case, required to be disclosed pursuant to Item 404(a) of Regulation S-K, other than as described in the “</w:t>
      </w:r>
      <w:r>
        <w:rPr>
          <w:rFonts w:ascii="Times New Roman;Times;Serif" w:hAnsi="Times New Roman;Times;Serif"/>
          <w:b w:val="false"/>
          <w:i/>
          <w:caps w:val="false"/>
          <w:smallCaps w:val="false"/>
          <w:sz w:val="20"/>
        </w:rPr>
        <w:t>Certain Relationships and Related Transactions, and Director Independence</w:t>
      </w:r>
      <w:r>
        <w:rPr>
          <w:rFonts w:ascii="Times New Roman;Times;Serif" w:hAnsi="Times New Roman;Times;Serif"/>
          <w:b w:val="false"/>
          <w:i w:val="false"/>
          <w:caps w:val="false"/>
          <w:smallCaps w:val="false"/>
          <w:sz w:val="20"/>
        </w:rPr>
        <w:t>” section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agreements with respect to the election of directors. Each director is currently elected for a period of one year at our annual meeting of stockholders and serves until the next such meeting and until his or her successor is duly elected or until his or her earlier resignation or removal. The Board may also appoint additional directors. A director so chosen or appointed will hold office until the next annual meeting of stockholders and until his or her successor is duly elected and qualified or until his or her earlier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reviewed the independence of our directors based on the listing standards of the Nasdaq Stock Market (“Nasdaq”). The Board has determined that Dr. Daniel Aghion, Dr. Arie Mayer, Yehuda Reznick and Benjamin Shapiro are independent as defined under the rules promulgated by the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that each of the directors is qualified to serve as a director of the Company based on a review of the experience, qualifications, attributes and skills of each director. In reaching this determination, we have considered a variety of criteria, including, among other things: character and integrity; ability to review critically, evaluate, question and discuss information provided, to exercise effective business judgment and to interact effectively with the other directors; and willingness and ability to commit the time necessary to perform the duties of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our directors or executive officers, except that Dr. Miriam Kidron is Mr. Nadav Kidron’s mother.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52</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been involved in any of the following events during the past ten years: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bankruptcy petition filed by or against any business of which such person was a general partner or executive officer either at the time of the bankruptcy or within two years prior to that time;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conviction in a criminal proceeding or being subject to a pending criminal proceeding (excluding traffic violations and other minor offences);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being found by a court of competent jurisdiction (in a civil action), the SEC or the Commodity Futures Trading Commission to have violated a federal or state securities or commodities law, and the judgment has not been reversed, suspended, or vacated.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Meeting Attendance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our Board held six meetings and took action by written consent on four occasions. Except Mr. Benjamin Shapiro, all of our directors attended at least 75% of the aggregate number of meetings of the Board and the committees that were held during the period such director served on the Board. Board members are encouraged to attend our annual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Evaluation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committed to continuous improvement and conducts a board and committee evaluation process each year, to ensure that our Board maintains optimal composition and functions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this process, the members of our Board complete a confidential written assessment of the performance, oversight and composition of the Board and its committees that is submitted to the Company secretary. The results are then reported back to the full Board. After the evaluations, the Board and management work to improve upon any issues presented during the evaluation process and to identify opportunities that may lead to further improvement.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53</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and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Audit Committee are Dr. Daniel Aghion, Dr. Arie Mayer and Yehuda Reznick. Our Board has determined that Mr. Reznick is an “audit committee financial expert” as set forth in Item 407(d)(5) of Regulation S-K based on his experience as set forth above, and that all members of the Audit Committee are “independent” as defined by the rules of the SEC and the Nasdaq rules and regulations. The Audit Committee operates under a written charter that is posted on the “Investors” section of our website, www.oramed.com. The primary responsibilities of our Audit Committee include: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accounting and financial reporting processes of the Company and the audits of the financial statements of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68"/>
        <w:gridCol w:w="200"/>
        <w:gridCol w:w="75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compensating and retaining our registered independent public accounting firm;</w:t>
            </w:r>
          </w:p>
        </w:tc>
      </w:tr>
    </w:tbl>
    <w:p>
      <w:pPr>
        <w:pStyle w:val="TextBody"/>
        <w:bidi w:val="0"/>
        <w:spacing w:before="0" w:after="0"/>
        <w:ind w:left="1080" w:right="0" w:hanging="36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68"/>
        <w:gridCol w:w="200"/>
        <w:gridCol w:w="52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work performed by any outside accounting firm;</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Assisting the Board in fulfilling its responsibilities by reviewing: (i) the financial reports provided by us to the SEC, our stockholders or to the general public and (ii) our internal financial and accounting controls;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Company’s policies with respect to cyber security risks and relevant contingent liabilities and risks that may be material to the Company;</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establishing and monitoring procedures designed to improve the quality and reliability of the disclosure of our financial condition and results of operations;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major financial risk exposures and the steps management has taken to monitor and control such exposures, and discussing the guidelines and polices to govern the process by which risk assessment and management is undertaken.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met four times and took action by written consent on two occasions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established an Investment Committee on June 5, 2025, to oversee our investment activities. The Investment Committee is composed of two members of the Board of Directors, currently including Dr. Daniel Aghion and Yehuda Reznick. The primary responsibilities of our Investment Committee include:</w:t>
      </w:r>
    </w:p>
    <w:p>
      <w:pPr>
        <w:pStyle w:val="TextBody"/>
        <w:bidi w:val="0"/>
        <w:spacing w:before="0" w:after="0"/>
        <w:ind w:left="0" w:right="0" w:hanging="0"/>
        <w:jc w:val="both"/>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68"/>
        <w:gridCol w:w="200"/>
        <w:gridCol w:w="6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Company’s investment strategy and portfolio management;</w:t>
            </w:r>
          </w:p>
        </w:tc>
      </w:tr>
    </w:tbl>
    <w:p>
      <w:pPr>
        <w:pStyle w:val="TextBody"/>
        <w:bidi w:val="0"/>
        <w:spacing w:before="0" w:after="0"/>
        <w:ind w:left="1080" w:right="0" w:hanging="36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68"/>
        <w:gridCol w:w="200"/>
        <w:gridCol w:w="65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investment policies, asset allocations, and investment decisions;</w:t>
            </w:r>
          </w:p>
        </w:tc>
      </w:tr>
    </w:tbl>
    <w:p>
      <w:pPr>
        <w:pStyle w:val="TextBody"/>
        <w:bidi w:val="0"/>
        <w:spacing w:before="0" w:after="0"/>
        <w:ind w:left="1080" w:right="0" w:hanging="36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68"/>
        <w:gridCol w:w="200"/>
        <w:gridCol w:w="64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and evaluating the performance of investments and assessing risk;</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Providing regular reports and recommendations to the Board on the status and performance of the Company’s investments;</w:t>
            </w:r>
          </w:p>
        </w:tc>
      </w:tr>
    </w:tbl>
    <w:p>
      <w:pPr>
        <w:pStyle w:val="TextBody"/>
        <w:bidi w:val="0"/>
        <w:spacing w:before="0" w:after="0"/>
        <w:ind w:left="1080" w:right="0" w:hanging="36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68"/>
        <w:gridCol w:w="200"/>
        <w:gridCol w:w="89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major investment decisions, including acquisitions, divestitures, and large-scale investments;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the Company’s investments and consider the implications of the Company’s investments and proposed investments under the Investment Company Act of 1940 (the “1940 Act”) to ensure the Company’s compliance with the 1940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Investment Committee met one time and took action by written consent on one occasion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members of our Compensation Committee were Dr. Daniel Aghion, Yehuda Reznick and Leonard Sank. Following Mr. Sank’s resignation, the Compensation Committee is composed of Dr. Aghion and Mr. Reznick. The Board has determined that all of the members of the Compensation Committee are “independent” as defined by the rules of the SEC and Nasdaq rules and regulations. The Compensation Committee operates under a written charter that is posted on the “Investors” section of our website, www.oramed.com. The primary responsibilities of our Compensation Committee include: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negotiating and approving, or recommending for approval by our Board the salaries and incentive compensation of our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Administering our equity based plans and making recommendations to our Board with respect to our incentive-compensation plans and equity-based plans;</w:t>
            </w:r>
          </w:p>
        </w:tc>
      </w:tr>
    </w:tbl>
    <w:p>
      <w:pPr>
        <w:pStyle w:val="TextBody"/>
        <w:bidi w:val="0"/>
        <w:spacing w:before="0" w:after="0"/>
        <w:ind w:left="1080" w:right="0" w:hanging="36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68"/>
        <w:gridCol w:w="200"/>
        <w:gridCol w:w="67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to our Board with respect to director compensation;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8178" w:type="dxa"/>
        <w:jc w:val="left"/>
        <w:tblInd w:w="0" w:type="dxa"/>
        <w:tblLayout w:type="fixed"/>
        <w:tblCellMar>
          <w:top w:w="0" w:type="dxa"/>
          <w:left w:w="0" w:type="dxa"/>
          <w:bottom w:w="0" w:type="dxa"/>
          <w:right w:w="0" w:type="dxa"/>
        </w:tblCellMar>
      </w:tblPr>
      <w:tblGrid>
        <w:gridCol w:w="68"/>
        <w:gridCol w:w="200"/>
        <w:gridCol w:w="7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Authority to exercise all rights, authority and functions of the Board under our Clawback Policy.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meets as often as it deems necessary, without the presence of any executive officer when approving compensation, except that the Company’s Chief Executive Officer, at the discretion of the Compensation Committee, may be present during the approval of, or deliberations with respect to, the compensation of other executive officers. The Compensation Committee may delegate any authority granted to it to one or more subcommittees of the Compensation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met two times and took action by written consent on three occasions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55</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our Nominating Committee were Dr. Arie Mayer and Leonard Sank. The Board has determined that all of the members of the Nominating Committee are “independent” as defined by the rules of the SEC and Nasdaq rules and regulations. The Nominating Committee operates under a written charter that is posted on the “Investors” section of our website, www.oramed.com. The primary responsibilities of our Nominating Committee include:</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Overseeing the composition and size of the Board, developing qualification criteria for Board members based on background, skills, experience and diversity, and actively seeking, interviewing and screening individuals qualified to become Board members for recommendation to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68"/>
        <w:gridCol w:w="20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Recommending the composition of the Board for each annual meeting of stockholders;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with the Chairman of the Board and the Chief Executive Officer the succession plans relating to positions held by directors, and making recommendations to the Board with respect to the selection and development of individuals to occupy those positions.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did not meet and took one action by written consent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Scientific Advisory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Scientific Advisory Board consisting of internationally recognized scientists who advise us on scientific and technical aspects of our business. The Scientific Advisory Board meets to review specific projects and to assess the value of new technologies and developments to us. In addition, individual members of the Scientific Advisory Board meet with us to provide advice in their particular areas of expertise. The Scientific Advisory Board consists of the following members, information with respect to whom is set forth below: Professor Roy Eldor, Professor Ele Ferrannini, Dr. Alexander Fleming, Professor Avram Hershko, Dr. Julio Rosenstock and Dr. Jay Skyler.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Professor Roy Eldor</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MD, PhD</w:t>
      </w:r>
      <w:r>
        <w:rPr>
          <w:rFonts w:ascii="Times New Roman;Times;Serif" w:hAnsi="Times New Roman;Times;Serif"/>
          <w:b w:val="false"/>
          <w:i w:val="false"/>
          <w:caps w:val="false"/>
          <w:smallCaps w:val="false"/>
          <w:sz w:val="20"/>
        </w:rPr>
        <w:t>, joined the Oramed Scientific Advisory Board in July 2016. He is an endocrinologist, internist and researcher with over twenty years of clinical and scientific experience. He is currently Director of the Diabetes Unit at the Institute of Endocrinology, Metabolism &amp; Hypertension at the Tel-Aviv Sourasky Medical Center. Prior to that, Dr. Eldor served as Principal Scientist at Merck Research Laboratories, Clinical Research – Diabetes &amp; Endocrinology. He previously served as a senior physician in internal medicine at the Diabetes Unit in Hadassah Hebrew University Hospital in Jerusalem, Israel; and the Diabetes Division at the University of Texas Health Science Center in San Antonio, Texas. Dr. Eldor is a recognized expert, with over 50 peer reviewed papers and book chapters, and has been a guest speaker at numerous international forums.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Professor Ele Ferrannini</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MD</w:t>
      </w:r>
      <w:r>
        <w:rPr>
          <w:rFonts w:ascii="Times New Roman;Times;Serif" w:hAnsi="Times New Roman;Times;Serif"/>
          <w:b w:val="false"/>
          <w:i w:val="false"/>
          <w:caps w:val="false"/>
          <w:smallCaps w:val="false"/>
          <w:sz w:val="20"/>
        </w:rPr>
        <w:t xml:space="preserve">, joined the Oramed Scientific Advisory Board in February 2007. He is a past President to the European Association for the Study of Diabetes (EASD), which supports scientists, physicians and students from all over the world who are interested in diabetes and related subjects in Europe and performs functions similar to that of the American Diabetes Association in the United States. Professor Ferrannini has worked with various institutions including the Department of Clinical &amp; Experimental Medicine at the University of Pisa School of Medicine, and CNR (National Research Council) Institute of Clinical Physiology in Pisa, Italy; and the Diabetes Division, Department of Medicine at the University of Texas Health Science Center in San Antonio, Texas. He has extensive training in internal medicine and endocrinology, and has specialized in diabetes trials. Professor Ferrannini has received a Certificate of the Educational Council for Foreign Medical Graduates from the University of Bologna, and completed a subspecialty in Diabetes and Metabolic Diseases at the University of Torino, </w:t>
      </w:r>
      <w:r>
        <w:rPr>
          <w:rFonts w:ascii="Times New Roman;Times;Serif" w:hAnsi="Times New Roman;Times;Serif"/>
          <w:b w:val="false"/>
          <w:i/>
          <w:caps w:val="false"/>
          <w:smallCaps w:val="false"/>
          <w:sz w:val="20"/>
        </w:rPr>
        <w:t>cum laude</w:t>
      </w:r>
      <w:r>
        <w:rPr>
          <w:rFonts w:ascii="Times New Roman;Times;Serif" w:hAnsi="Times New Roman;Times;Serif"/>
          <w:b w:val="false"/>
          <w:i w:val="false"/>
          <w:caps w:val="false"/>
          <w:smallCaps w:val="false"/>
          <w:sz w:val="20"/>
        </w:rPr>
        <w:t>. He has published over 500 original papers and 50 book chapters and he is a “highly cited researcher,” according to the Institute for Scientific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56</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Alexander Fleming, MD</w:t>
      </w:r>
      <w:r>
        <w:rPr>
          <w:rFonts w:ascii="Times New Roman;Times;Serif" w:hAnsi="Times New Roman;Times;Serif"/>
          <w:b w:val="false"/>
          <w:i w:val="false"/>
          <w:caps w:val="false"/>
          <w:smallCaps w:val="false"/>
          <w:sz w:val="20"/>
        </w:rPr>
        <w:t>, joined the Oramed Scientific Advisory Board in December 2019. Dr. Fleming, an endocrinologist, is Founder and Executive Chairman of Kinexum, a strategic advisory firm. From 1986 to 1998, he served at the FDA as a supervisory medical officer in the Division of Metabolism and Endocrine Drug Products and was responsible for landmark approvals of the first statin, metformin, and other endocrine and metabolic therapies. He also represented the FDA at the World Health Organization and on multiple expert working groups of the International Conference on Harmonization (ICH). Dr. Fleming coined the term, Metabesity, which refers to the constellation of major chronic diseases and the aging process itself, all which share common metabolic root causes and potential preventive therapies. He organized the first Congress on Metabesity in London in October 2017, followed by annual conferences. In 2020, Dr. Fleming founded the non-profit Kitalys Institute as a means of producing Metabesity conferences and advancing interventions of any kind that can improve health and healthspan.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Hershko, MD, PhD</w:t>
      </w:r>
      <w:r>
        <w:rPr>
          <w:rFonts w:ascii="Times New Roman;Times;Serif" w:hAnsi="Times New Roman;Times;Serif"/>
          <w:b w:val="false"/>
          <w:i w:val="false"/>
          <w:caps w:val="false"/>
          <w:smallCaps w:val="false"/>
          <w:sz w:val="20"/>
        </w:rPr>
        <w:t>, joined the Oramed Scientific Advisory Board in July 2008. Professor Hershko served as a physician in the Israel Defense Forces from 1965 to 1967. After a post-doctoral fellowship with Gordon Tomkins at the University of San Francisco from 1969 to 1972, he joined the faculty of the Haifa Technion becoming a professor in 1980. He is now Distinguished Professor in the Unit of Biochemistry in the B. Rappaport Faculty of Medicine of the Technion in Haifa, Israel. Professor Hershko’s main research interests concern the mechanisms by which cellular proteins are degraded, a formerly neglected field of study. Professor Hershko and his colleagues showed that cellular proteins are degraded by a highly selective proteolytic system. This system tags proteins for destruction by linkage to a protein called ubiquitin, which had previously been identified in many tissues, but whose function was previously unknown. Subsequent work by Professor Hershko and many other laboratories has shown that the ubiquitin system has a vital role in controlling a wide range of cellular processes, such as the regulation of cell division, signal transduction and DNA repair. Professor Hershko was awarded the Nobel Prize in Chemistry in 2004, jointly with his former PhD student Aaron Ciechanover and their colleague Irwin Rose. His many honors include the Israel Prize for Biochemistry (1994), the Gairdner Award (1999), the Lasker Prize for Basic Medical Research (2000), the Wolf Prize for Medicine (2001) and the Louisa Gross Horwitz Award (2001). Professor Hershko is a member of the Israel Academy of Sciences since 2000 and a Foreign Associate of the U.S. Academy of Sciences since 2003.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Julio Rosenstock, MD</w:t>
      </w:r>
      <w:r>
        <w:rPr>
          <w:rFonts w:ascii="Times New Roman;Times;Serif" w:hAnsi="Times New Roman;Times;Serif"/>
          <w:b w:val="false"/>
          <w:i w:val="false"/>
          <w:caps w:val="false"/>
          <w:smallCaps w:val="false"/>
          <w:sz w:val="20"/>
        </w:rPr>
        <w:t>, joined the Oramed Scientific Advisory Board in January 2020. Dr. Rosenstock is the Senior Scientific Advisor and Director of Velocity Clinical Research at Medical City, Dallas, Texas, and a Clinical Professor of Medicine at the University of Texas Southwestern Medical Center in Dallas, Texas. He is board certified in Internal Medicine, Endocrinology and Metabolism. His clinical and research activities have focused on exploring novel agents and therapeutic strategies to improve glycemic control, particularly early combination therapies in Type 2 Diabetes. Over the last 30 years, he has participated in hundreds of clinical trials and has had an active role in the development of new oral agents, incretin-related therapies and insulin formulations, often acting as a lead clinical investigator and scientific advisor on the design and reporting of these clinical trials. Dr. Rosenstock has been the author or co-author of 386 peer-reviewed manuscripts (</w:t>
      </w:r>
      <w:r>
        <w:rPr>
          <w:rFonts w:ascii="Times New Roman;Times;Serif" w:hAnsi="Times New Roman;Times;Serif"/>
          <w:b w:val="false"/>
          <w:i/>
          <w:caps w:val="false"/>
          <w:smallCaps w:val="false"/>
          <w:sz w:val="20"/>
        </w:rPr>
        <w:t>H-index 124</w:t>
      </w:r>
      <w:r>
        <w:rPr>
          <w:rFonts w:ascii="Times New Roman;Times;Serif" w:hAnsi="Times New Roman;Times;Serif"/>
          <w:b w:val="false"/>
          <w:i w:val="false"/>
          <w:caps w:val="false"/>
          <w:smallCaps w:val="false"/>
          <w:sz w:val="20"/>
        </w:rPr>
        <w:t>) and several hundreds of scientific abstracts and he is considered a key opinion leader in Type 2 Diabetes. He has also contributed to 13 book chapters on various topics in the field of diabetes and is considered a key opinion leader in Type 2 Diabetes.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Dr. Jay Skyler, MD, MCAP, FRCP</w:t>
      </w:r>
      <w:r>
        <w:rPr>
          <w:rFonts w:ascii="Times New Roman;Times;Serif" w:hAnsi="Times New Roman;Times;Serif"/>
          <w:b w:val="false"/>
          <w:i w:val="false"/>
          <w:caps w:val="false"/>
          <w:smallCaps w:val="false"/>
          <w:sz w:val="20"/>
        </w:rPr>
        <w:t>, joined the Oramed Scientific Advisory Board in January 2020. Dr. Skyler is Professor of Medicine, Pediatrics and Psychology in the Division of Endocrinology, Diabetes and Metabolism, Department of Medicine, University of Miami Leonard M. Miller School of Medicine. He previously held the position of Director of the Division of Endocrinology, Diabetes and Metabolism. In addition, Dr. Skyler is Deputy Director of Clinical Research and Academic Programs at the Diabetes Research Institute, and an Adjunct Professor of Pediatrics at the Barbara Davis Center for Childhood Diabetes at the University of Colorado in Denver. Dr. Skyler’s research focuses on the clinical aspects of diabetes, specifically the conduct of randomized controlled clinical trials. From 1993 to 2015, he was Chairman of the National Institute of Health (NIDDK)-sponsored Diabetes Prevention Trial–- Type 1 (DPT-1) and its successor Type 1 Diabetes Trial Net, a nationwide and global network conducting clinical trials to prevent T1D.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Business Conduct for our senior officers, directors and employees. A copy of the Code of Ethics and Business Conduct is located at our website at www.oramed.com. We intend to satisfy the disclosure requirement regarding any amendment to, or a waiver from, a provision of the Code of Ethics that applies to our Chief Executive Officer, Chief Financial Officer or controller, or persons performing similar functions and that relates to the Code of Ethics by posting such information on our website, www.oramed.com.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or the Policy, governing the purchase, sale and other transactions in our securities that applies to our directors, officers, employees, including part-time and temporary employees, and other covered persons, including immediate family members and entities controlled by any of the foregoing persons, as well as by the Company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prohibits, among other things, insider trading and certain speculative transactions in our securities (including short sales, buying put and selling call options and other hedging or derivative transactions in our securities) and establishes a regular blackout period schedule during which directors, executive officers, employees, and other covered persons may not trade in the Company’s securities, as well as certain pre-clearance procedures that directors and executive officers must observe prior to effecting any transaction in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Policy is reasonably designed to promote compliance with insider trading laws, rules and regulations, and listing standards applicable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earned by our NEOs for the years ended December 31, 2025 and 2024.</w:t>
      </w:r>
    </w:p>
    <w:p>
      <w:pPr>
        <w:pStyle w:val="TextBody"/>
        <w:bidi w:val="0"/>
        <w:spacing w:before="0" w:after="0"/>
        <w:ind w:left="0" w:right="0" w:firstLine="720"/>
        <w:jc w:val="left"/>
        <w:rPr>
          <w:caps w:val="false"/>
          <w:smallCaps w:val="false"/>
        </w:rPr>
      </w:pPr>
      <w:r>
        <w:rPr>
          <w:caps w:val="false"/>
          <w:smallCaps w:val="false"/>
        </w:rPr>
        <w:t> </w:t>
      </w:r>
    </w:p>
    <w:tbl>
      <w:tblPr>
        <w:tblW w:w="10730" w:type="dxa"/>
        <w:jc w:val="left"/>
        <w:tblInd w:w="0" w:type="dxa"/>
        <w:tblLayout w:type="fixed"/>
        <w:tblCellMar>
          <w:top w:w="0" w:type="dxa"/>
          <w:left w:w="0" w:type="dxa"/>
          <w:bottom w:w="28" w:type="dxa"/>
          <w:right w:w="0" w:type="dxa"/>
        </w:tblCellMar>
      </w:tblPr>
      <w:tblGrid>
        <w:gridCol w:w="2975"/>
        <w:gridCol w:w="90"/>
        <w:gridCol w:w="560"/>
        <w:gridCol w:w="90"/>
        <w:gridCol w:w="90"/>
        <w:gridCol w:w="830"/>
        <w:gridCol w:w="90"/>
        <w:gridCol w:w="90"/>
        <w:gridCol w:w="90"/>
        <w:gridCol w:w="830"/>
        <w:gridCol w:w="90"/>
        <w:gridCol w:w="90"/>
        <w:gridCol w:w="139"/>
        <w:gridCol w:w="1561"/>
        <w:gridCol w:w="90"/>
        <w:gridCol w:w="90"/>
        <w:gridCol w:w="171"/>
        <w:gridCol w:w="1349"/>
        <w:gridCol w:w="90"/>
        <w:gridCol w:w="90"/>
        <w:gridCol w:w="90"/>
        <w:gridCol w:w="1010"/>
        <w:gridCol w:w="135"/>
      </w:tblGrid>
      <w:tr>
        <w:trPr/>
        <w:tc>
          <w:tcPr>
            <w:tcW w:w="2975" w:type="dxa"/>
            <w:tcBorders>
              <w:bottom w:val="single" w:sz="12" w:space="0" w:color="000000"/>
            </w:tcBorders>
            <w:vAlign w:val="center"/>
          </w:tcPr>
          <w:p>
            <w:pPr>
              <w:pStyle w:val="TableContents"/>
              <w:bidi w:val="0"/>
              <w:spacing w:before="0" w:after="283"/>
              <w:jc w:val="left"/>
              <w:rPr>
                <w:b/>
              </w:rPr>
            </w:pPr>
            <w:r>
              <w:rPr>
                <w:b/>
              </w:rPr>
              <w:t>Name and Principal Position</w:t>
            </w:r>
          </w:p>
        </w:tc>
        <w:tc>
          <w:tcPr>
            <w:tcW w:w="9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Salary </w:t>
              <w:br/>
              <w:t>($) (1)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Bonus </w:t>
              <w:br/>
              <w:t>($) (1)(2)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0" w:type="dxa"/>
            <w:gridSpan w:val="2"/>
            <w:tcBorders>
              <w:bottom w:val="single" w:sz="12" w:space="0" w:color="000000"/>
            </w:tcBorders>
            <w:vAlign w:val="center"/>
          </w:tcPr>
          <w:p>
            <w:pPr>
              <w:pStyle w:val="TableContents"/>
              <w:bidi w:val="0"/>
              <w:spacing w:before="0" w:after="283"/>
              <w:jc w:val="center"/>
              <w:rPr>
                <w:b/>
              </w:rPr>
            </w:pPr>
            <w:r>
              <w:rPr>
                <w:b/>
              </w:rPr>
              <w:t>RSUs and PSUs</w:t>
              <w:br/>
              <w:t>Awards</w:t>
              <w:br/>
              <w:t>($) (3)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 xml:space="preserve">All Other </w:t>
              <w:br/>
              <w:t xml:space="preserve">Compensation </w:t>
              <w:br/>
              <w:t>($) (1)(4)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 xml:space="preserve">Total </w:t>
              <w:b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Nadav Kidron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619,529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379,935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3,709,269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65,927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4,774,460</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Chairman</w:t>
            </w:r>
            <w:r>
              <w:rPr>
                <w:rFonts w:ascii="Times New Roman;Times;Serif" w:hAnsi="Times New Roman;Times;Serif"/>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540,145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270,767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1,224,760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62,017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2,097,689</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156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Dr. Miriam Kidron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439,902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271,994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1,406,033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48,455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2,166,384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Scientific Officer and director</w:t>
            </w:r>
            <w:r>
              <w:rPr>
                <w:rFonts w:ascii="Times New Roman;Times;Serif" w:hAnsi="Times New Roman;Times;Serif"/>
                <w:position w:val="7"/>
                <w:sz w:val="16"/>
                <w:sz w:val="20"/>
              </w:rPr>
              <w:t>(5)</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408,104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155,291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951,545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19,607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1,534,547</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9" w:type="dxa"/>
            <w:tcBorders/>
            <w:tcMar>
              <w:bottom w:w="0" w:type="dxa"/>
            </w:tcMar>
            <w:vAlign w:val="center"/>
          </w:tcPr>
          <w:p>
            <w:pPr>
              <w:pStyle w:val="TableContents"/>
              <w:bidi w:val="0"/>
              <w:spacing w:before="0" w:after="283"/>
              <w:jc w:val="left"/>
              <w:rPr/>
            </w:pPr>
            <w:r>
              <w:rPr/>
              <w:t> </w:t>
            </w:r>
          </w:p>
        </w:tc>
        <w:tc>
          <w:tcPr>
            <w:tcW w:w="1561"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134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Joshua Hexter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285,432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218,148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1,299,065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79,753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1,882,398</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75" w:type="dxa"/>
            <w:tcBorders/>
            <w:shd w:fill="CCEEFF" w:val="clear"/>
            <w:tcMar>
              <w:bottom w:w="0" w:type="dxa"/>
            </w:tcMar>
            <w:vAlign w:val="center"/>
          </w:tcPr>
          <w:p>
            <w:pPr>
              <w:pStyle w:val="TableContents"/>
              <w:bidi w:val="0"/>
              <w:spacing w:before="0" w:after="283"/>
              <w:jc w:val="left"/>
              <w:rPr/>
            </w:pPr>
            <w:r>
              <w:rPr/>
              <w:t>Chief Operating and Business Officer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259,038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93,992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1561" w:type="dxa"/>
            <w:tcBorders/>
            <w:shd w:fill="CCEEFF" w:val="clear"/>
            <w:tcMar>
              <w:bottom w:w="0" w:type="dxa"/>
            </w:tcMar>
            <w:vAlign w:val="center"/>
          </w:tcPr>
          <w:p>
            <w:pPr>
              <w:pStyle w:val="TableContents"/>
              <w:bidi w:val="0"/>
              <w:spacing w:before="0" w:after="283"/>
              <w:jc w:val="right"/>
              <w:rPr/>
            </w:pPr>
            <w:r>
              <w:rPr/>
              <w:t>608,545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1349" w:type="dxa"/>
            <w:tcBorders/>
            <w:shd w:fill="CCEEFF" w:val="clear"/>
            <w:tcMar>
              <w:bottom w:w="0" w:type="dxa"/>
            </w:tcMar>
            <w:vAlign w:val="center"/>
          </w:tcPr>
          <w:p>
            <w:pPr>
              <w:pStyle w:val="TableContents"/>
              <w:bidi w:val="0"/>
              <w:spacing w:before="0" w:after="283"/>
              <w:jc w:val="right"/>
              <w:rPr/>
            </w:pPr>
            <w:r>
              <w:rPr/>
              <w:t>69,875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1,031,450</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Amounts paid for Salary, Bonus and All Other Compensation that were originally denominated in NIS were translated into U.S. Dollars at the then average exchange rate for the period.</w:t>
            </w:r>
          </w:p>
        </w:tc>
      </w:tr>
    </w:tbl>
    <w:p>
      <w:pPr>
        <w:pStyle w:val="TextBody"/>
        <w:bidi w:val="0"/>
        <w:spacing w:before="0" w:after="0"/>
        <w:ind w:left="720" w:right="0" w:hanging="72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290"/>
        <w:gridCol w:w="5945"/>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Bonuses were granted at the discretion of the Compensation Committee.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RSU and performance stock unit, or PSU, awards, the amounts reflect the grant date fair value, as calculated pursuant to ASC Topic 718 “Compensation–Stock Compensation.” The assumptions used to determine the fair value of the RSU awards are set forth in note 14 to our audited consolidated financial statements. Our NEOs will not realize the value of these awards in cash unless and until the awards vest and the underlying shares are issued and subsequently sold.</w:t>
            </w:r>
          </w:p>
        </w:tc>
      </w:tr>
    </w:tbl>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90"/>
        <w:gridCol w:w="368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“All Other Compensation Table” below.</w:t>
            </w:r>
          </w:p>
        </w:tc>
      </w:tr>
    </w:tbl>
    <w:p>
      <w:pPr>
        <w:pStyle w:val="TextBody"/>
        <w:bidi w:val="0"/>
        <w:spacing w:before="0" w:after="0"/>
        <w:ind w:left="720" w:right="0" w:hanging="720"/>
        <w:jc w:val="both"/>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290"/>
        <w:gridCol w:w="455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4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“Employment and Consulting Agreements”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59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 Other Compensation” amounts set forth in the Summary Compensation Table above consist of the following:</w:t>
      </w:r>
    </w:p>
    <w:p>
      <w:pPr>
        <w:pStyle w:val="TextBody"/>
        <w:bidi w:val="0"/>
        <w:spacing w:before="0" w:after="0"/>
        <w:ind w:left="0" w:right="0" w:firstLine="720"/>
        <w:jc w:val="both"/>
        <w:rPr>
          <w:caps w:val="false"/>
          <w:smallCaps w:val="false"/>
        </w:rPr>
      </w:pPr>
      <w:r>
        <w:rPr>
          <w:caps w:val="false"/>
          <w:smallCaps w:val="false"/>
        </w:rPr>
        <w:t> </w:t>
      </w:r>
    </w:p>
    <w:tbl>
      <w:tblPr>
        <w:tblW w:w="8159" w:type="dxa"/>
        <w:jc w:val="left"/>
        <w:tblInd w:w="0" w:type="dxa"/>
        <w:tblLayout w:type="fixed"/>
        <w:tblCellMar>
          <w:top w:w="0" w:type="dxa"/>
          <w:left w:w="0" w:type="dxa"/>
          <w:bottom w:w="28" w:type="dxa"/>
          <w:right w:w="0" w:type="dxa"/>
        </w:tblCellMar>
      </w:tblPr>
      <w:tblGrid>
        <w:gridCol w:w="1865"/>
        <w:gridCol w:w="90"/>
        <w:gridCol w:w="560"/>
        <w:gridCol w:w="90"/>
        <w:gridCol w:w="205"/>
        <w:gridCol w:w="1629"/>
        <w:gridCol w:w="90"/>
        <w:gridCol w:w="90"/>
        <w:gridCol w:w="128"/>
        <w:gridCol w:w="1017"/>
        <w:gridCol w:w="90"/>
        <w:gridCol w:w="90"/>
        <w:gridCol w:w="123"/>
        <w:gridCol w:w="977"/>
        <w:gridCol w:w="90"/>
        <w:gridCol w:w="90"/>
        <w:gridCol w:w="90"/>
        <w:gridCol w:w="710"/>
        <w:gridCol w:w="135"/>
      </w:tblGrid>
      <w:tr>
        <w:trPr/>
        <w:tc>
          <w:tcPr>
            <w:tcW w:w="186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560" w:type="dxa"/>
            <w:tcBorders>
              <w:bottom w:val="single" w:sz="12" w:space="0" w:color="000000"/>
            </w:tcBorders>
            <w:vAlign w:val="center"/>
          </w:tcPr>
          <w:p>
            <w:pPr>
              <w:pStyle w:val="TableContents"/>
              <w:bidi w:val="0"/>
              <w:spacing w:before="0" w:after="283"/>
              <w:jc w:val="center"/>
              <w:rPr>
                <w:b/>
              </w:rPr>
            </w:pPr>
            <w:r>
              <w:rPr>
                <w:b/>
              </w:rPr>
              <w:t>Year</w:t>
            </w:r>
          </w:p>
        </w:tc>
        <w:tc>
          <w:tcPr>
            <w:tcW w:w="90" w:type="dxa"/>
            <w:tcBorders/>
            <w:tcMar>
              <w:bottom w:w="0" w:type="dxa"/>
            </w:tcMar>
            <w:vAlign w:val="center"/>
          </w:tcPr>
          <w:p>
            <w:pPr>
              <w:pStyle w:val="TableContents"/>
              <w:bidi w:val="0"/>
              <w:spacing w:before="0" w:after="283"/>
              <w:jc w:val="left"/>
              <w:rPr/>
            </w:pPr>
            <w:r>
              <w:rPr/>
              <w:t> </w:t>
            </w:r>
          </w:p>
        </w:tc>
        <w:tc>
          <w:tcPr>
            <w:tcW w:w="1834" w:type="dxa"/>
            <w:gridSpan w:val="2"/>
            <w:tcBorders>
              <w:bottom w:val="single" w:sz="12" w:space="0" w:color="000000"/>
            </w:tcBorders>
            <w:vAlign w:val="center"/>
          </w:tcPr>
          <w:p>
            <w:pPr>
              <w:pStyle w:val="TableContents"/>
              <w:bidi w:val="0"/>
              <w:spacing w:before="0" w:after="283"/>
              <w:jc w:val="center"/>
              <w:rPr>
                <w:b/>
              </w:rPr>
            </w:pPr>
            <w:r>
              <w:rPr>
                <w:b/>
              </w:rPr>
              <w:t>Automobile-</w:t>
              <w:br/>
              <w:t>Related Expenses</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Manager’s</w:t>
              <w:br/>
              <w:t>Insurance</w:t>
              <w:br/>
              <w:t>(1)($)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Education</w:t>
              <w:br/>
              <w:t>Fund</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Nadav Kidron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29,331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32,499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4,097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65,927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30,505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27,690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3,822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62,017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62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Dr. Miriam Kidron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25,009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20,325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3,121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48,455</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19,607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19,607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629"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 w:type="dxa"/>
            <w:tcBorders/>
            <w:tcMar>
              <w:bottom w:w="0" w:type="dxa"/>
            </w:tcMar>
            <w:vAlign w:val="center"/>
          </w:tcPr>
          <w:p>
            <w:pPr>
              <w:pStyle w:val="TableContents"/>
              <w:bidi w:val="0"/>
              <w:spacing w:before="0" w:after="283"/>
              <w:jc w:val="left"/>
              <w:rPr/>
            </w:pPr>
            <w:r>
              <w:rPr/>
              <w:t> </w:t>
            </w:r>
          </w:p>
        </w:tc>
        <w:tc>
          <w:tcPr>
            <w:tcW w:w="101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3" w:type="dxa"/>
            <w:tcBorders/>
            <w:tcMar>
              <w:bottom w:w="0" w:type="dxa"/>
            </w:tcMar>
            <w:vAlign w:val="center"/>
          </w:tcPr>
          <w:p>
            <w:pPr>
              <w:pStyle w:val="TableContents"/>
              <w:bidi w:val="0"/>
              <w:spacing w:before="0" w:after="283"/>
              <w:jc w:val="left"/>
              <w:rPr/>
            </w:pPr>
            <w:r>
              <w:rPr/>
              <w:t> </w:t>
            </w:r>
          </w:p>
        </w:tc>
        <w:tc>
          <w:tcPr>
            <w:tcW w:w="977" w:type="dxa"/>
            <w:tcBorders/>
            <w:tcMar>
              <w:bottom w:w="0" w:type="dxa"/>
            </w:tcMar>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Joshua Hexter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2025</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17,382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42,243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20,128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79,753</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center"/>
              <w:rPr/>
            </w:pPr>
            <w:r>
              <w:rPr/>
              <w:t>2024</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629" w:type="dxa"/>
            <w:tcBorders/>
            <w:shd w:fill="CCEEFF" w:val="clear"/>
            <w:tcMar>
              <w:bottom w:w="0" w:type="dxa"/>
            </w:tcMar>
            <w:vAlign w:val="center"/>
          </w:tcPr>
          <w:p>
            <w:pPr>
              <w:pStyle w:val="TableContents"/>
              <w:bidi w:val="0"/>
              <w:spacing w:before="0" w:after="283"/>
              <w:jc w:val="right"/>
              <w:rPr/>
            </w:pPr>
            <w:r>
              <w:rPr/>
              <w:t>16,217</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p>
        </w:tc>
        <w:tc>
          <w:tcPr>
            <w:tcW w:w="1017" w:type="dxa"/>
            <w:tcBorders/>
            <w:shd w:fill="CCEEFF" w:val="clear"/>
            <w:tcMar>
              <w:bottom w:w="0" w:type="dxa"/>
            </w:tcMar>
            <w:vAlign w:val="center"/>
          </w:tcPr>
          <w:p>
            <w:pPr>
              <w:pStyle w:val="TableContents"/>
              <w:bidi w:val="0"/>
              <w:spacing w:before="0" w:after="283"/>
              <w:jc w:val="right"/>
              <w:rPr/>
            </w:pPr>
            <w:r>
              <w:rPr/>
              <w:t>34,219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3" w:type="dxa"/>
            <w:tcBorders/>
            <w:shd w:fill="CCEEFF" w:val="clear"/>
            <w:tcMar>
              <w:bottom w:w="0" w:type="dxa"/>
            </w:tcMar>
            <w:vAlign w:val="center"/>
          </w:tcPr>
          <w:p>
            <w:pPr>
              <w:pStyle w:val="TableContents"/>
              <w:bidi w:val="0"/>
              <w:spacing w:before="0" w:after="283"/>
              <w:jc w:val="left"/>
              <w:rPr/>
            </w:pPr>
            <w:r>
              <w:rPr/>
              <w:t> </w:t>
            </w:r>
          </w:p>
        </w:tc>
        <w:tc>
          <w:tcPr>
            <w:tcW w:w="977" w:type="dxa"/>
            <w:tcBorders/>
            <w:shd w:fill="CCEEFF" w:val="clear"/>
            <w:tcMar>
              <w:bottom w:w="0" w:type="dxa"/>
            </w:tcMar>
            <w:vAlign w:val="center"/>
          </w:tcPr>
          <w:p>
            <w:pPr>
              <w:pStyle w:val="TableContents"/>
              <w:bidi w:val="0"/>
              <w:spacing w:before="0" w:after="283"/>
              <w:jc w:val="right"/>
              <w:rPr/>
            </w:pPr>
            <w:r>
              <w:rPr/>
              <w:t>19,439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710" w:type="dxa"/>
            <w:tcBorders/>
            <w:shd w:fill="CCEEFF" w:val="clear"/>
            <w:tcMar>
              <w:bottom w:w="0" w:type="dxa"/>
            </w:tcMar>
            <w:vAlign w:val="center"/>
          </w:tcPr>
          <w:p>
            <w:pPr>
              <w:pStyle w:val="TableContents"/>
              <w:bidi w:val="0"/>
              <w:spacing w:before="0" w:after="283"/>
              <w:jc w:val="right"/>
              <w:rPr/>
            </w:pPr>
            <w:r>
              <w:rPr/>
              <w:t>69,875</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Manager’s insurance and education funds are customary benefits provided to employees based in Israel. Manager’s insurance is a combination of severance savings (in accordance with Israeli law), defined contribution tax-qualified pension savings and disability insurance premiums. An education fund is a savings fund of pre-tax contributions to be used after a specified period of time for educational or other permitted purposes.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and Consulting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Miriam Kidron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2008, Oramed Ltd. entered into a consulting agreement with KNRY whereby Dr. Miriam Kidron, through KNRY, provides services as Chief Scientific Officer of both the Company and Oramed Ltd., or the Miriam Kidron Consulting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Miriam Kidron Consulting Agreement is terminable by either party upon 140 days prior written notice. The agreement, as amended, provides that KNRY will be reimbursed for reasonable expenses incurred in connection with performance of the agreement. Pursuant to the agreement, each of KNRY and Dr. Miriam Kidron agreed that during the term of the agreement and for a 12-month period thereafter, none of them will compete with Oramed Ltd. nor solicit employees of Oramed Ltd. Effective as of July 1, 2024, the monthly consulting fee is NIS 134,550.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April 1, 2025, the Company entered into a consulting agreement with KNRY, whereby the Chief Scientific Officer, through KNRY, provides services as Chief Scientific Officer of the Company. The agreement is terminable by either party upon 140 days prior written notice. The agreement provides that KNRY will be reimbursed for reasonable expenses incurred in connection with performance of the agreement. The Chief Scientific Officer receives a monthly consulting fee of NIS 67,275. Pursuant to the agreement, KNRY and the Chief Scientific Officer each agree that during the term of the agreement and for a 12-month period thereafter, none of them will compete with the Company nor solicit employees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monthly consulting fee of the Chief Scientific Officer is NIS 71,648.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through the Subsidiary, has entered into an employment agreement with the Chief Scientific Officer, effective as of April 1, 2025, pursuant to which the Chief Scientific Officer receives a gross monthly salary of NIS 51,750 in consideration for her services as Chief Scientific Officer of the Subsidiary. In addition, the Chief Scientific Officer is provided with a phone and a company car pursuant to the terms of her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60</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gross monthly salary of the Chief Scientific Officer is NIS 55,114.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Nadav Kidron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November 1, 2022, the Company entered into a consulting agreement with Shnida Ltd., whereby Nadav Kidron, through Shnida Ltd., provides services as President and Chief Executive Officer of the Company. The agreement is terminable by either party upon 140 days prior written notice. The agreement provides that Shnida Ltd. will be reimbursed for reasonable expenses incurred in connection with performance of the agreement. Effective as of January 1, 2024, Nadav Kidron receives a monthly consulting fee of NIS 96,825. Effective as of July 1, 2024, the monthly consulting fee is NIS 111,349. Pursuant to the agreement, Shnida Ltd. and Nadav Kidron each agree that during the term of the agreement and for a 12-month period thereafter, none of them will compete with the Company nor solicit employees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monthly consulting fee of the Chief Executive Officer is NIS 118,587.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through Oramed Ltd., have entered into an employment agreement with Nadav Kidron, effective as of November 1, 2022, pursuant to which, effective as of January 1, 2024, Mr. Kidron receives gross monthly salary of NIS 51,591 in consideration for his services as President and Chief Executive Officer of Oramed Ltd. Effective as of July 1, 2024, Mr. Kidron receives gross monthly salary of NIS 59,330 in consideration for his services as President and Chief Executive Officer of Oramed Ltd. In addition, Mr. Kidron is provided with a phone and a company car pursuant to the terms of 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gross monthly salary of the Chief Executive Officer is NIS 63,186.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Joshua Hexter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through Oramed Ltd., have entered into an employment agreement with Joshua Hexter as of August 18 , 2019, pursuant to which Mr. Hexter was appointed as Chief Operating and Business Officer of the Company and Oramed Ltd., effective September 19, 2019. In accordance with the employment agreement, as amended, Mr. Hexter’s current gross monthly salary is NIS 81,466, effective as of July 1, 2024, and he will be provided with a company car allowance pursuant to the terms of 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gross monthly salary of the Chief Operating and Business Officer is NIS 86,761.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officers pursuant to which we agreed to indemnify each director and officer for any liability he or she may incur by reason of the fact that he or she serves as our director or officer, to the maximum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Potential Payments upon Termination or Change-in-Control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plans or arrangements in respect of remuneration received or that may be received by our NEOs to compensate such officers in the event of termination of employment (as a result of resignation or retirement).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NEOs’ employment agreements, upon a termination in connection with a change-in-control that occurs during the period that is three months prior and 12 months after the event, the following “double trigger” change-in-control provisions shall apply:</w:t>
      </w:r>
    </w:p>
    <w:p>
      <w:pPr>
        <w:pStyle w:val="TextBody"/>
        <w:bidi w:val="0"/>
        <w:spacing w:before="0" w:after="0"/>
        <w:ind w:left="1134" w:right="0" w:hanging="425"/>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68"/>
        <w:gridCol w:w="200"/>
        <w:gridCol w:w="74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President and Chief Executive Officer will be entitled to receive 18 months severance.</w:t>
            </w:r>
          </w:p>
        </w:tc>
      </w:tr>
    </w:tbl>
    <w:p>
      <w:pPr>
        <w:pStyle w:val="TextBody"/>
        <w:bidi w:val="0"/>
        <w:spacing w:before="0" w:after="0"/>
        <w:ind w:left="1134" w:right="0" w:hanging="425"/>
        <w:jc w:val="both"/>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8"/>
        <w:gridCol w:w="200"/>
        <w:gridCol w:w="52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NEOS will be entitled to receive 12 months severance.</w:t>
            </w:r>
          </w:p>
        </w:tc>
      </w:tr>
    </w:tbl>
    <w:p>
      <w:pPr>
        <w:pStyle w:val="TextBody"/>
        <w:bidi w:val="0"/>
        <w:spacing w:before="0" w:after="0"/>
        <w:ind w:left="1134" w:right="0" w:hanging="42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Severance shall be defined as base salary plus bonuses over the severance period. For U.S.-based persons, COBRA payments equivalent to healthcare benefits values will be provided over the severance period.</w:t>
            </w:r>
          </w:p>
        </w:tc>
      </w:tr>
    </w:tbl>
    <w:p>
      <w:pPr>
        <w:pStyle w:val="TextBody"/>
        <w:bidi w:val="0"/>
        <w:spacing w:before="0" w:after="0"/>
        <w:ind w:left="1134" w:right="0" w:hanging="425"/>
        <w:jc w:val="both"/>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68"/>
        <w:gridCol w:w="200"/>
        <w:gridCol w:w="58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vesting acceleration of all outstanding unvested equity incentives.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Pension, Retirement or Similar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arrangements or plans under which we provide pension, retirement or similar benefits for directors or executive officers. Our directors and executive officers may receive stock options, RSUs or restricted shares at the discretion of our Compensation Committee in the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Policy Relating to Recovery of Erroneously Awarded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adopted an executive compensation clawback policy, administered by our Compensation Committee, which provides for the recoupment (or clawback) from current and former executive officers of certain compensation in the event of an accounting restatement resulting from material noncompliance with financial reporting requirements under the federal securities laws of the United States. In the event the Company is required to prepare an accounting restatement of its financial statements due to the Company’s material non-compliance with any financial reporting requirement under the securities laws, the Compensation Committee will require prompt reimbursement or forfeiture of any excess incentive compensation (as defined in the clawback policy) received by any covered executive officer during the three completed years immediately preceding the date on which the Company is required to prepare an accounting restatement.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stock options and stock awards held by the NEOs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2"/>
        <w:gridCol w:w="90"/>
        <w:gridCol w:w="121"/>
        <w:gridCol w:w="989"/>
        <w:gridCol w:w="511"/>
        <w:gridCol w:w="90"/>
        <w:gridCol w:w="138"/>
        <w:gridCol w:w="1112"/>
        <w:gridCol w:w="355"/>
        <w:gridCol w:w="90"/>
        <w:gridCol w:w="116"/>
        <w:gridCol w:w="669"/>
        <w:gridCol w:w="90"/>
        <w:gridCol w:w="90"/>
        <w:gridCol w:w="1006"/>
        <w:gridCol w:w="90"/>
        <w:gridCol w:w="91"/>
        <w:gridCol w:w="890"/>
        <w:gridCol w:w="538"/>
        <w:gridCol w:w="90"/>
        <w:gridCol w:w="152"/>
        <w:gridCol w:w="1502"/>
        <w:gridCol w:w="90"/>
        <w:gridCol w:w="103"/>
      </w:tblGrid>
      <w:tr>
        <w:trPr/>
        <w:tc>
          <w:tcPr>
            <w:tcW w:w="1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6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 Awards</w:t>
            </w:r>
          </w:p>
        </w:tc>
        <w:tc>
          <w:tcPr>
            <w:tcW w:w="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center"/>
              <w:rPr/>
            </w:pPr>
            <w:r>
              <w:rPr/>
              <w:t> </w:t>
            </w:r>
          </w:p>
        </w:tc>
        <w:tc>
          <w:tcPr>
            <w:tcW w:w="3546"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 Awards</w:t>
            </w:r>
          </w:p>
        </w:tc>
      </w:tr>
      <w:tr>
        <w:trPr/>
        <w:tc>
          <w:tcPr>
            <w:tcW w:w="119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vAlign w:val="center"/>
          </w:tcPr>
          <w:p>
            <w:pPr>
              <w:pStyle w:val="TableContents"/>
              <w:bidi w:val="0"/>
              <w:spacing w:before="0" w:after="283"/>
              <w:jc w:val="left"/>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 xml:space="preserve">Underlying </w:t>
              <w:br/>
              <w:t xml:space="preserve">Unexercised </w:t>
              <w:br/>
              <w:t>Options (#)</w:t>
              <w:br/>
              <w:t>Exercisable</w:t>
            </w:r>
          </w:p>
        </w:tc>
        <w:tc>
          <w:tcPr>
            <w:tcW w:w="5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Securities</w:t>
              <w:br/>
              <w:t>Underlying</w:t>
              <w:br/>
              <w:t xml:space="preserve">Unexercised </w:t>
              <w:br/>
              <w:t>Options (#)</w:t>
              <w:br/>
              <w:t>Unexercisable</w:t>
            </w:r>
          </w:p>
        </w:tc>
        <w:tc>
          <w:tcPr>
            <w:tcW w:w="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w:t>
              <w:br/>
              <w:t>Exercise</w:t>
              <w:br/>
              <w:t>Price</w:t>
              <w:b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w:t>
              <w:br/>
              <w:t xml:space="preserve">Expiration </w:t>
              <w:br/>
              <w:t>Date</w:t>
            </w:r>
          </w:p>
        </w:tc>
        <w:tc>
          <w:tcPr>
            <w:tcW w:w="90" w:type="dxa"/>
            <w:tcBorders/>
            <w:vAlign w:val="center"/>
          </w:tcPr>
          <w:p>
            <w:pPr>
              <w:pStyle w:val="TableContents"/>
              <w:bidi w:val="0"/>
              <w:spacing w:before="0" w:after="283"/>
              <w:jc w:val="left"/>
              <w:rPr/>
            </w:pPr>
            <w:r>
              <w:rPr/>
              <w:t> </w:t>
            </w:r>
          </w:p>
        </w:tc>
        <w:tc>
          <w:tcPr>
            <w:tcW w:w="98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shares that</w:t>
              <w:br/>
              <w:t xml:space="preserve">have not </w:t>
              <w:br/>
              <w:t>vested</w:t>
              <w:br/>
              <w:t>(#)</w:t>
            </w:r>
          </w:p>
        </w:tc>
        <w:tc>
          <w:tcPr>
            <w:tcW w:w="5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 value of shares</w:t>
              <w:br/>
              <w:t>that</w:t>
              <w:br/>
              <w:t>have not</w:t>
              <w:br/>
              <w:t>vested</w:t>
              <w:br/>
              <w:t>($)</w:t>
            </w:r>
          </w:p>
        </w:tc>
        <w:tc>
          <w:tcPr>
            <w:tcW w:w="90" w:type="dxa"/>
            <w:tcBorders/>
            <w:vAlign w:val="center"/>
          </w:tcPr>
          <w:p>
            <w:pPr>
              <w:pStyle w:val="TableContents"/>
              <w:bidi w:val="0"/>
              <w:spacing w:before="0" w:after="283"/>
              <w:jc w:val="left"/>
              <w:rPr/>
            </w:pPr>
            <w:r>
              <w:rPr/>
              <w:t> </w:t>
            </w:r>
          </w:p>
        </w:tc>
        <w:tc>
          <w:tcPr>
            <w:tcW w:w="103" w:type="dxa"/>
            <w:tcBorders/>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Nadav Kidron</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6/30/27</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1/31/28</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196,500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2/26/29</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1/8/30</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2/3/31</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80,250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26,750</w:t>
            </w:r>
          </w:p>
        </w:tc>
        <w:tc>
          <w:tcPr>
            <w:tcW w:w="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1/3/32</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116,127</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9/17/32</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5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1,357,306</w:t>
            </w:r>
          </w:p>
        </w:tc>
        <w:tc>
          <w:tcPr>
            <w:tcW w:w="538"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(9-22)</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3,868,320</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5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3" w:type="dxa"/>
            <w:tcBorders/>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Miriam Kidron</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69,999</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6/30/27</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1/31/28</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104,000 </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(26)(4)</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2/26/29</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1/8/30</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2/3/31</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18,000</w:t>
            </w:r>
          </w:p>
        </w:tc>
        <w:tc>
          <w:tcPr>
            <w:tcW w:w="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1/3/32</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5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633,748</w:t>
            </w:r>
          </w:p>
        </w:tc>
        <w:tc>
          <w:tcPr>
            <w:tcW w:w="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(30-42)</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1,806,181</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 </w:t>
            </w:r>
          </w:p>
        </w:tc>
        <w:tc>
          <w:tcPr>
            <w:tcW w:w="5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53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0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03" w:type="dxa"/>
            <w:tcBorders/>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Hexter</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9/11/29</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 </w:t>
            </w:r>
          </w:p>
        </w:tc>
        <w:tc>
          <w:tcPr>
            <w:tcW w:w="5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9/11/29</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3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2/3/31</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w:t>
            </w:r>
          </w:p>
        </w:tc>
        <w:tc>
          <w:tcPr>
            <w:tcW w:w="53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r>
        <w:trPr/>
        <w:tc>
          <w:tcPr>
            <w:tcW w:w="11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27,000</w:t>
            </w:r>
          </w:p>
        </w:tc>
        <w:tc>
          <w:tcPr>
            <w:tcW w:w="5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9,000</w:t>
            </w:r>
          </w:p>
        </w:tc>
        <w:tc>
          <w:tcPr>
            <w:tcW w:w="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1/3/32</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501,741</w:t>
            </w:r>
          </w:p>
        </w:tc>
        <w:tc>
          <w:tcPr>
            <w:tcW w:w="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(47-56)</w:t>
            </w:r>
          </w:p>
        </w:tc>
        <w:tc>
          <w:tcPr>
            <w:tcW w:w="9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1,334,962</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30, 2017, 147,000 options were granted to Nadav Kidron under the 2008 Plan at an exercise price of $7.77 per share; 49,000 of such options vested on December 31, 2017 and the remainder vested in two equal installments of 49,000 on each of December 31, 2018 and December 31, 2019, subject to the Company share price reaching the target of $9.50 and $12.50 per share, respectively. The options expire on June 30, 2027. As of December 31, 2021, 98,000 of these options were forfeited.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31, 2018, 97,000 options were granted to Nadav Kidron under the 2008 Plan at an exercise price of $8.14 per share; 97,000 of such options vested in four equal installments of 24,250 on each of January 1, 2019, January 1, 2020, January 1, 2021 and January 1, 2022. The options expire on January 31, 2028.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26, 2019, 196,500 options were granted to Nadav Kidron under the 2008 Plan at an exercise price of $3.16 per share; 196,500 of such options vested in four equal installments of 49,125 on each of December 31, 2019, December 31, 2020, December 31, 2021 and December 31, 2022. The options expire on February 26, 2029. For additional information, see footnote 4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11, 2019, these options were canceled and re-granted under the 2019 Plan in the same amounts and under the same terms as the original grants.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8, 2020, 190,000 options were granted to Nadav Kidron under the 2019 Plan at an exercise price of $4.80 per share. 190,000 of the options vested in four equal installments of 47,500 on each of December 31, 2020, December 31, 2021, December 31, 2022 and December 31, 2023. The options expire on January 8, 2030.</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3, 2021, 150,000 options were granted to Nadav Kidron under the 2019 Plan at an exercise price of $10.40 per share. 150,000 of the options vested in four equal installments of 37,500 on each of December 31, 2021, December 31, 2022 and December 31, 2023, and December 31, 2024. The options expire on February 3, 2031.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 2022, 107,000 options were granted to Nadav Kidron under the 2019 Plan at an exercise price of $13.89 per share. 80,250 options vested in three equal installments of 26,750 on each of January 1, 2023, January 1, 2024 and January 1, 2025. The remainder 26,750 shall vest on January 1, 2026. The options expire on January 3, 2032.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September 18, 2022, 116,127 options were granted to Nadav Kidron under the Oravax Medical Inc. 2021 Long-Term Incentive Plan at an exercise price of $3.91 per share. 116,127 of the options vested in four installments on each of September 18, 2022, December 31, 2022, December 31, 2023 and December 31, 2024. The options expire on September 17, 2032.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13, 2014, 9,788 RSUs, representing a right to receive shares of the Company’s common stock, were granted to Nadav Kidron. The RSUs vested in two equal installments, each of 4,894 shares, on November 30 and December 31, 2014.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23, 2015, 79,848 RSUs, representing a right to receive shares of the Company’s common stock, were granted to Nadav Kidron. The RSUs vested in 23 installments consisting of one installment of 6,654 shares on February 28, 2015 and 22 equal monthly installments of 3,327 shares each, commencing March 31, 2015.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3, 2021, 300,000 PSUs, representing a right to receive shares of the Company’s common stock, were granted to Nadav Kidron. 100,000 RSUs vested on August 31, 2021 ,100,000 RSUs vested on February 10, 2025, and 100,000 RSUs shall vest upon our common stock achieving a specified price per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 2022, 63,000 RSUs representing a right to receive shares of the Company’s common stock were granted to Nadav Kidron. 47,250 RSUs vested in three equal installments, each of 15,750 shares on January 1, 2023, January 1, 2024 and January 1, 2025. The remainder 15,750 shall vest on January 1, 2026.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28, 2022, 126,000 RSUs representing a right to receive shares of the Company’s common stock were granted to Nadav Kidron. 84,000 RSUs vested in two equal installments, each of 42,000 shares on January 1, 2024 and January 1, 2025. The remainder 42,000 shall vest on January 1, 2026.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64</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9"/>
        <w:gridCol w:w="9796"/>
      </w:tblGrid>
      <w:tr>
        <w:trPr/>
        <w:tc>
          <w:tcPr>
            <w:tcW w:w="409" w:type="dxa"/>
            <w:tcBorders/>
            <w:vAlign w:val="center"/>
          </w:tcPr>
          <w:p>
            <w:pPr>
              <w:pStyle w:val="TableContents"/>
              <w:bidi w:val="0"/>
              <w:spacing w:before="0" w:after="283"/>
              <w:jc w:val="left"/>
              <w:rPr/>
            </w:pPr>
            <w:r>
              <w:rPr/>
              <w:t>(14)</w:t>
            </w:r>
          </w:p>
        </w:tc>
        <w:tc>
          <w:tcPr>
            <w:tcW w:w="97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17, 2023, 279,000 RSUs representing a right to receive shares of the Company’s common stock were granted to Nadav Kidron. 255,750 RSUs vested in eleven equal quarterly installments of 23,250 starting May 1, 2023 and the remainder of 23,250 shall vest on February 1,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
        <w:gridCol w:w="9841"/>
      </w:tblGrid>
      <w:tr>
        <w:trPr/>
        <w:tc>
          <w:tcPr>
            <w:tcW w:w="3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329,000 RSUs representing a right to receive shares of the Company’s common stock were granted to Nadav Kidron. 329,000 RSUs vested in twelve equal quarterly installments of 27,417 starting January 8, 2024.</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141,000 PSUs representing a right to receive shares of the Company’s common stock were granted to Nadav Kidron. The total amount of the PSUs vested on February 10, 2025 upon the satisfaction of certain market conditions.</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On January 2, 2025, The Board modified 294,000 outstanding PSUs that were granted to the Company’s executive officers adjusting the vesting criteria from market condition to performance targets. </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433,500 RSUs representing a right to receive shares of the Company’s common stock were granted to Nadav Kidron. The RSUs vested in twelve quarterly installments of 36,125 starting January 1, 2025.</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(19)</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186,000 PSUs representing a right to receive shares of the Company’s common stock were granted to Nadav Kidron. The total amount of the PSUs vested on February 10, 2025 upon the satisfaction of certain performance conditions.</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299,750 RSUs representing a right to receive shares of the Company’s common stock were granted to Nadav Kidron. The RSUs shall vest in eleven quarterly installments of 27,250 starting April 1, 2026.</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109,000 PSUs representing a right to receive shares of the Company’s common stock were granted to Nadav Kidron. The total amount of the PSUs vest upon the satisfaction of certain performance conditions.</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(22)</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109,000 PSUs representing a right to receive shares of the Company’s common stock were granted to Nadav Kidron. The total amount of the PSUs vest upon the satisfaction of certain performance conditions or certain market conditions.</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(23)</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259,890 RSUs representing a right to receive shares of the Company’s common stock were granted to Nadav Kidron. 259,890 RSUs shall vest in one installment on January 1, 2026.</w:t>
            </w:r>
          </w:p>
        </w:tc>
      </w:tr>
      <w:tr>
        <w:trPr/>
        <w:tc>
          <w:tcPr>
            <w:tcW w:w="356" w:type="dxa"/>
            <w:tcBorders/>
            <w:vAlign w:val="center"/>
          </w:tcPr>
          <w:p>
            <w:pPr>
              <w:pStyle w:val="TableContents"/>
              <w:bidi w:val="0"/>
              <w:spacing w:before="0" w:after="283"/>
              <w:jc w:val="both"/>
              <w:rPr/>
            </w:pPr>
            <w:r>
              <w:rPr/>
              <w:t> </w:t>
            </w:r>
          </w:p>
        </w:tc>
        <w:tc>
          <w:tcPr>
            <w:tcW w:w="9849" w:type="dxa"/>
            <w:tcBorders/>
            <w:vAlign w:val="center"/>
          </w:tcPr>
          <w:p>
            <w:pPr>
              <w:pStyle w:val="TableContents"/>
              <w:bidi w:val="0"/>
              <w:spacing w:before="0" w:after="283"/>
              <w:jc w:val="both"/>
              <w:rPr/>
            </w:pPr>
            <w:r>
              <w:rPr/>
              <w:t> </w:t>
            </w:r>
          </w:p>
        </w:tc>
      </w:tr>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w:t>
            </w:r>
          </w:p>
        </w:tc>
        <w:tc>
          <w:tcPr>
            <w:tcW w:w="98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30, 2017, 69,999 options were granted to Dr. Miriam Kidron under the 2008 Plan at an exercise price of $7.77 per share; Such options vested in three equal installments of 23,333 on each of December 31, 2017, December 31, 2018 and December 31, 2019. The options have an expiration date of June 30, 2027.</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65</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31, 2018, 47,000 options were granted to Dr. Miriam Kidron under the 2008 Plan at an exercise price of $8.14 per share; 47,000 of such options vested in four equal installments of 11,750 on each of January 1, 2019, January 1, 2020, January 1, 2021 and January 1, 2022. The options expire on January 31, 2028.</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(26)</w:t>
            </w:r>
          </w:p>
        </w:tc>
        <w:tc>
          <w:tcPr>
            <w:tcW w:w="9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26, 2019, 104,000 options were granted to Dr. Miriam Kidron under the 2008 Plan at an exercise price of $3.16 per share; 104,000 of such options vested in four equal installments of 26,000 on each of December 31, 2019, December 31, 2020, December 31, 2021 and December 31, 2022. The options expire on February 26, 2029. For additional information, see footnote 4 above.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(27)</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8, 2020, 100,000 options were granted to Dr. Miriam Kidron under the 2019 Plan at an exercise price of $4.80 per share. 100,000 of the options vested in four equal installments of 25,000 on each of  December 31, 2020, December 31, 2021, December 31, 2022 and December 31, 2023. The options expire on January 8, 2030.</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w:t>
            </w:r>
          </w:p>
        </w:tc>
        <w:tc>
          <w:tcPr>
            <w:tcW w:w="98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3, 2021, 100,000 options were granted to Dr. Miriam Kidron under the 2019 Plan at an exercise price of $10.40 per share. 100,000 of such options vested in four equal installments of 25,000 on each of December 31, 2021, December 31, 2022 and December 31, 2023 and December 31, 2024. The options expire on February 3, 2031.</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(29)</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 2022, 72,000 options were granted to Dr. Miriam Kidron under the 2019 Plan at an exercise price of $13.89 per share. 54,000 of such options vested in three equal installments of 18,000 on each of January 1, 2023, January 1, 2024 and January 1, 2025 and the remainder of 18,000 shall vest on January 1, 2026. The options expire on January 3, 2032.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w:t>
            </w:r>
          </w:p>
        </w:tc>
        <w:tc>
          <w:tcPr>
            <w:tcW w:w="98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3, 2021, 200,000 RSUs, representing a right to receive shares of the Company’s common stock, were granted to Dr. Miriam Kidron. 66,666 RSUs vested on August 31, 2021, 66,667 RSUs vested on February 10, 2025 upon our achievement of certain business objectives, and 66,667 RSUs shall vest upon our common stock achieving a specified price per share.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 2022, 42,000 RSUs representing a right to receive shares of the Company’s common stock were granted to Dr. Miriam Kidron. 31,500 vested on three equal installments of 10,500 on each of January 1, 2023, January 1, 2024 and January 1, 2025. The remainder shall vest on January 1, 2026.</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98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28, 2022, 84,000 RSUs representing a right to receive shares of the Company’s common stock were granted to Dr. Miriam Kidron. 63,000 vested on three equal installments of 21,000 on each of January 1, 2023, January 1, 2024 and January 1, 2025. The remainder shall vest on January 1, 2026.</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66</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(33)</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17, 2023, 213,000 RSUs representing a right to receive shares of the Company’s common stock were granted to Dr. Miriam Kidron. 213,000 RSUs vested in twelve equal quarterly installments of 17,750 starting May 1, 2023.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
        <w:gridCol w:w="9853"/>
      </w:tblGrid>
      <w:tr>
        <w:trPr/>
        <w:tc>
          <w:tcPr>
            <w:tcW w:w="3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(34)</w:t>
            </w:r>
          </w:p>
        </w:tc>
        <w:tc>
          <w:tcPr>
            <w:tcW w:w="98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17, 2023, 53,500 performance-based RSUs representing a right to receive shares of the Company’s common stock were granted to Dr. Miriam Kidron. 53,000 RSUs vested in one installment on May 26, 2023, upon our common stock achieving a specified price per share.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
        <w:gridCol w:w="9850"/>
      </w:tblGrid>
      <w:tr>
        <w:trPr/>
        <w:tc>
          <w:tcPr>
            <w:tcW w:w="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(35)</w:t>
            </w:r>
          </w:p>
        </w:tc>
        <w:tc>
          <w:tcPr>
            <w:tcW w:w="9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295,500 RSUs representing a right to receive shares of the Company’s common stock were granted to Dr. Miriam Kidron. The RSUs vested in twelve equal quarterly installments of 24,625 starting January 8, 2024. The shares of common stock underlying the RSUs will be issued upon request of the grantee.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74,000 PSUs representing a right to receive shares of the Company’s common stock were granted to Dr. Miriam Kidron. The total amount of the PSUs vested on February 10, 2025 upon the satisfaction of certain market conditions.</w:t>
            </w:r>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207,500 RSUs representing a right to receive shares of the Company’s common stock were granted to Dr. Miriam Kidron. The RSUs vested in twelve quarterly installments of 17,250 starting January 1, 2025.</w:t>
            </w:r>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52,000 PSUs representing a right to receive shares of the Company’s common stock were granted to Dr. Miriam Kidron. The total amount of the PSUs vested on February 10, 2025 upon the satisfaction of certain performance conditions.</w:t>
            </w:r>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105,417 RSUs representing a right to receive shares of the Company’s common stock were granted to Dr. Miriam Kidron. The RSUs shall vest in eleven quarterly installments of 9,583 starting April 1, 2026.</w:t>
            </w:r>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19,000 PSUs representing a right to receive shares of the Company’s common stock were granted to Dr. Miriam Kidron. The total amount of the PSUs vest upon the satisfaction of certain performance conditions. The total fair value of these PSUs on the date of grant was $472, using the quoted closing market share price of $2.85 on the Nasdaq Capital Market on the date of grant.</w:t>
            </w:r>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19,000 PSUs representing a right to receive shares of the Company’s common stock were granted to Dr. Miriam Kidron. The total amount of the PSUs vest upon the satisfaction of certain performance conditions or certain market conditions. The total fair value of these PSUs on the date of grant was $473, using the quoted closing market share price of $2.85 on the Nasdaq Capital Market on the date of grant.  </w:t>
            </w:r>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130,914 RSUs representing a right to receive shares of the Company’s common stock were granted to Dr. Miriam Kidron. 130,914 RSUs shall vest in one installment on January 1, 2026.</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1"/>
        <w:gridCol w:w="9854"/>
      </w:tblGrid>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(43)</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9, 2019, 100,000 options were granted to Joshua Hexter under the 2019 Plan at an exercise price of $3.69 per share; 100,000 of the options vested in sixteen equal quarterly installments of 6,250 starting November 1, 2019.</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(44)</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9, 2019, 100,000 options were granted to Joshua Hexter under the 2019 Plan at an exercise price of $3.69 per share; 100,000 of the options shall vest in four quarterly installments upon our achievement of certain business objectives.</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(45)</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3, 2021, 50,000 options were granted to Joshua Hexter under the 2019 Plan at an exercise price of $10.40 per share. 50,000 of the options vested in four equal installments of 12,500 on each of December 31, 2021, December 31, 2022, December 31, 2023, and December 31, 2024. The options expire on February 3, 2031.</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(46)</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 2022, 36,000 options were granted to Joshua Hexter under the 2019 Plan at an exercise price of $13.89 per share. 27,000 options vested in three equal installments of 9,000 on each of January 1, 2023, January 1, 2024 and January 1, 2025. The remainder shall vest on January 1, 2026. The options expire on January 3, 2032.</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(47)</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February 3, 2021, 100,000 PSUs, representing a right to receive shares of the Company’s common stock, were granted to Joshua Hexter. 33,333 RSUs vested on August 31, 2021, 33,333 RSUs vested on February 10, 2025 upon our common stock achieving a specified price per share, and 33,334 RSUs vest upon our achievement of certain business objectives.</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(48)</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 2022, 21,000 RSUs representing a right to receive shares of the Company’s common stock were granted to Joshua Hexter. 15,750 RSUs vested in three equal installments, each of 5,250 shares on January 1, 2023, January 1, 2024 and January 1, 2025. The remainder 5,250 shall vest on January 1, 2026. The shares of common stock underlying the RSUs will be issued upon request of the grantee.</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July 28, 2022, 42,000 RSUs representing a right to receive shares of the Company’s common stock were granted to Joshua Hexter. 28,000 RSUs vested in two equal installments, each of 14,000 shares on January 1, 2024, January 1, 2025 and the remainder 14,000 shall vest on January 1, 2026.</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17, 2023, 108,000 RSUs representing a right to receive shares of the Company’s common stock were granted to Joshua Hexter. 63,000 RSUs vested in twelve equal quarterly installments of 9,000 starting May 1, 2023.</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(51)</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180,500 RSUs representing a right to receive shares of the Company’s common stock were granted to Joshua Hexter. The RSUs vested in twelve equal quarterly installments of 15,042 starting January 8, 2024. The shares of common stock underlying the RSUs will be issued upon request of the grantee.</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(52)</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194,500 RSUs representing a right to receive shares of the Company’s common stock were granted to Joshua Hexter. The RSUs vested in twelve quarterly installments of 16,208 starting January 1, 2025.</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(53)</w:t>
            </w:r>
          </w:p>
        </w:tc>
        <w:tc>
          <w:tcPr>
            <w:tcW w:w="98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105,417 RSUs representing a right to receive shares of the Company’s common stock were granted to Joshua Hexter. The RSUs shall vest in eleven quarterly installments of 9,583 starting April 1, 2026.</w:t>
            </w:r>
          </w:p>
        </w:tc>
      </w:tr>
      <w:tr>
        <w:trPr/>
        <w:tc>
          <w:tcPr>
            <w:tcW w:w="351" w:type="dxa"/>
            <w:tcBorders/>
            <w:vAlign w:val="center"/>
          </w:tcPr>
          <w:p>
            <w:pPr>
              <w:pStyle w:val="TableContents"/>
              <w:bidi w:val="0"/>
              <w:spacing w:before="0" w:after="283"/>
              <w:jc w:val="both"/>
              <w:rPr/>
            </w:pPr>
            <w:r>
              <w:rPr/>
              <w:t> </w:t>
            </w:r>
          </w:p>
        </w:tc>
        <w:tc>
          <w:tcPr>
            <w:tcW w:w="9854" w:type="dxa"/>
            <w:tcBorders/>
            <w:vAlign w:val="center"/>
          </w:tcPr>
          <w:p>
            <w:pPr>
              <w:pStyle w:val="TableContents"/>
              <w:bidi w:val="0"/>
              <w:spacing w:before="0" w:after="283"/>
              <w:jc w:val="both"/>
              <w:rPr/>
            </w:pPr>
            <w:r>
              <w:rPr/>
              <w:t> </w:t>
            </w:r>
          </w:p>
        </w:tc>
      </w:tr>
      <w:tr>
        <w:trPr/>
        <w:tc>
          <w:tcPr>
            <w:tcW w:w="35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(54)</w:t>
            </w:r>
          </w:p>
        </w:tc>
        <w:tc>
          <w:tcPr>
            <w:tcW w:w="9854" w:type="dxa"/>
            <w:tcBorders/>
            <w:vAlign w:val="center"/>
          </w:tcPr>
          <w:p>
            <w:pPr>
              <w:pStyle w:val="TableContents"/>
              <w:bidi w:val="0"/>
              <w:spacing w:before="0" w:after="283"/>
              <w:jc w:val="both"/>
              <w:rPr/>
            </w:pPr>
            <w:r>
              <w:rPr/>
              <w:t>On December 31, 2025, 19,000 PSUs representing a right to receive shares of the Company’s common stock were granted to Joshua Hexter. The total amount of the PSUs shall vest upon the satisfaction of certain performance conditions.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56"/>
        <w:gridCol w:w="9849"/>
      </w:tblGrid>
      <w:tr>
        <w:trPr/>
        <w:tc>
          <w:tcPr>
            <w:tcW w:w="3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(55)</w:t>
            </w:r>
          </w:p>
        </w:tc>
        <w:tc>
          <w:tcPr>
            <w:tcW w:w="9849" w:type="dxa"/>
            <w:tcBorders/>
            <w:vAlign w:val="center"/>
          </w:tcPr>
          <w:p>
            <w:pPr>
              <w:pStyle w:val="TableContents"/>
              <w:bidi w:val="0"/>
              <w:spacing w:before="0" w:after="283"/>
              <w:jc w:val="both"/>
              <w:rPr/>
            </w:pPr>
            <w:r>
              <w:rPr/>
              <w:t>On December 31, 2025, 19,000 PSUs representing a right to receive shares of the Company’s common stock were granted to Joshua Hexter. The total amount of the PSUs shall vest upon the satisfaction of certain performance conditions or certain market conditions.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(56)</w:t>
            </w:r>
          </w:p>
        </w:tc>
        <w:tc>
          <w:tcPr>
            <w:tcW w:w="98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106,911 RSUs representing a right to receive shares of the Company’s common stock were granted to Joshua Hexter. 106,911 RSUs shall vest in one installment on January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68</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compensation earned by, awarded or paid to each person for serving as a director who is not an executive officer during the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8413" w:type="dxa"/>
        <w:jc w:val="left"/>
        <w:tblInd w:w="0" w:type="dxa"/>
        <w:tblLayout w:type="fixed"/>
        <w:tblCellMar>
          <w:top w:w="0" w:type="dxa"/>
          <w:left w:w="0" w:type="dxa"/>
          <w:bottom w:w="28" w:type="dxa"/>
          <w:right w:w="0" w:type="dxa"/>
        </w:tblCellMar>
      </w:tblPr>
      <w:tblGrid>
        <w:gridCol w:w="1835"/>
        <w:gridCol w:w="90"/>
        <w:gridCol w:w="151"/>
        <w:gridCol w:w="1203"/>
        <w:gridCol w:w="90"/>
        <w:gridCol w:w="90"/>
        <w:gridCol w:w="90"/>
        <w:gridCol w:w="830"/>
        <w:gridCol w:w="90"/>
        <w:gridCol w:w="90"/>
        <w:gridCol w:w="208"/>
        <w:gridCol w:w="711"/>
        <w:gridCol w:w="90"/>
        <w:gridCol w:w="90"/>
        <w:gridCol w:w="265"/>
        <w:gridCol w:w="1255"/>
        <w:gridCol w:w="90"/>
        <w:gridCol w:w="90"/>
        <w:gridCol w:w="90"/>
        <w:gridCol w:w="830"/>
        <w:gridCol w:w="135"/>
      </w:tblGrid>
      <w:tr>
        <w:trPr/>
        <w:tc>
          <w:tcPr>
            <w:tcW w:w="1835" w:type="dxa"/>
            <w:tcBorders>
              <w:bottom w:val="single" w:sz="12" w:space="0" w:color="000000"/>
            </w:tcBorders>
            <w:vAlign w:val="center"/>
          </w:tcPr>
          <w:p>
            <w:pPr>
              <w:pStyle w:val="TableContents"/>
              <w:bidi w:val="0"/>
              <w:spacing w:before="0" w:after="283"/>
              <w:jc w:val="left"/>
              <w:rPr>
                <w:b/>
              </w:rPr>
            </w:pPr>
            <w:r>
              <w:rPr>
                <w:b/>
              </w:rPr>
              <w:t>Name of Director</w:t>
            </w:r>
          </w:p>
        </w:tc>
        <w:tc>
          <w:tcPr>
            <w:tcW w:w="90" w:type="dxa"/>
            <w:tcBorders/>
            <w:tcMar>
              <w:bottom w:w="0" w:type="dxa"/>
            </w:tcMar>
            <w:vAlign w:val="center"/>
          </w:tcPr>
          <w:p>
            <w:pPr>
              <w:pStyle w:val="TableContents"/>
              <w:bidi w:val="0"/>
              <w:spacing w:before="0" w:after="283"/>
              <w:jc w:val="left"/>
              <w:rPr/>
            </w:pPr>
            <w:r>
              <w:rPr/>
              <w:t> </w:t>
            </w:r>
          </w:p>
        </w:tc>
        <w:tc>
          <w:tcPr>
            <w:tcW w:w="1354" w:type="dxa"/>
            <w:gridSpan w:val="2"/>
            <w:tcBorders>
              <w:bottom w:val="single" w:sz="12" w:space="0" w:color="000000"/>
            </w:tcBorders>
            <w:vAlign w:val="center"/>
          </w:tcPr>
          <w:p>
            <w:pPr>
              <w:pStyle w:val="TableContents"/>
              <w:bidi w:val="0"/>
              <w:spacing w:before="0" w:after="283"/>
              <w:jc w:val="center"/>
              <w:rPr>
                <w:b/>
              </w:rPr>
            </w:pPr>
            <w:r>
              <w:rPr>
                <w:b/>
              </w:rPr>
              <w:t>Fees</w:t>
              <w:br/>
              <w:t>Earned or</w:t>
              <w:br/>
              <w:t>Paid in Cash</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 xml:space="preserve">Stock </w:t>
              <w:br/>
              <w:t>Awards</w:t>
              <w:b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19" w:type="dxa"/>
            <w:gridSpan w:val="2"/>
            <w:tcBorders>
              <w:bottom w:val="single" w:sz="12" w:space="0" w:color="000000"/>
            </w:tcBorders>
            <w:vAlign w:val="center"/>
          </w:tcPr>
          <w:p>
            <w:pPr>
              <w:pStyle w:val="TableContents"/>
              <w:bidi w:val="0"/>
              <w:spacing w:before="0" w:after="283"/>
              <w:jc w:val="center"/>
              <w:rPr>
                <w:b/>
              </w:rPr>
            </w:pPr>
            <w:r>
              <w:rPr>
                <w:b/>
              </w:rPr>
              <w:t xml:space="preserve">Option </w:t>
              <w:br/>
              <w:t xml:space="preserve">Awards </w:t>
              <w:br/>
              <w:t>(1)(2)($)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12" w:space="0" w:color="000000"/>
            </w:tcBorders>
            <w:vAlign w:val="center"/>
          </w:tcPr>
          <w:p>
            <w:pPr>
              <w:pStyle w:val="TableContents"/>
              <w:bidi w:val="0"/>
              <w:spacing w:before="0" w:after="283"/>
              <w:jc w:val="center"/>
              <w:rPr>
                <w:b/>
              </w:rPr>
            </w:pPr>
            <w:r>
              <w:rPr>
                <w:b/>
              </w:rPr>
              <w:t xml:space="preserve">All Other </w:t>
              <w:br/>
              <w:t>Compensation</w:t>
              <w:b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20" w:type="dxa"/>
            <w:gridSpan w:val="2"/>
            <w:tcBorders>
              <w:bottom w:val="single" w:sz="12" w:space="0" w:color="000000"/>
            </w:tcBorders>
            <w:vAlign w:val="center"/>
          </w:tcPr>
          <w:p>
            <w:pPr>
              <w:pStyle w:val="TableContents"/>
              <w:bidi w:val="0"/>
              <w:spacing w:before="0" w:after="283"/>
              <w:jc w:val="center"/>
              <w:rPr>
                <w:b/>
              </w:rPr>
            </w:pPr>
            <w:r>
              <w:rPr>
                <w:b/>
              </w:rPr>
              <w:t>Total</w:t>
              <w:br/>
              <w:t>($)</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Daniel Aghion</w:t>
            </w:r>
            <w:r>
              <w:rPr>
                <w:rFonts w:ascii="Times New Roman;Times;Serif" w:hAnsi="Times New Roman;Times;Serif"/>
                <w:position w:val="7"/>
                <w:sz w:val="16"/>
                <w:sz w:val="20"/>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42,790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185,810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228,810</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35" w:type="dxa"/>
            <w:tcBorders/>
            <w:tcMar>
              <w:bottom w:w="0" w:type="dxa"/>
            </w:tcMar>
            <w:vAlign w:val="center"/>
          </w:tcPr>
          <w:p>
            <w:pPr>
              <w:pStyle w:val="TableContents"/>
              <w:bidi w:val="0"/>
              <w:spacing w:before="0" w:after="283"/>
              <w:jc w:val="left"/>
              <w:rPr/>
            </w:pPr>
            <w:r>
              <w:rPr/>
              <w:t>Dr. Arie Mayer</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1203" w:type="dxa"/>
            <w:tcBorders/>
            <w:tcMar>
              <w:bottom w:w="0" w:type="dxa"/>
            </w:tcMar>
            <w:vAlign w:val="center"/>
          </w:tcPr>
          <w:p>
            <w:pPr>
              <w:pStyle w:val="TableContents"/>
              <w:bidi w:val="0"/>
              <w:spacing w:before="0" w:after="283"/>
              <w:jc w:val="right"/>
              <w:rPr/>
            </w:pPr>
            <w:r>
              <w:rPr/>
              <w:t>40,000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178,961</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71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5" w:type="dxa"/>
            <w:tcBorders/>
            <w:tcMar>
              <w:bottom w:w="0" w:type="dxa"/>
            </w:tcMar>
            <w:vAlign w:val="center"/>
          </w:tcPr>
          <w:p>
            <w:pPr>
              <w:pStyle w:val="TableContents"/>
              <w:bidi w:val="0"/>
              <w:spacing w:before="0" w:after="283"/>
              <w:jc w:val="left"/>
              <w:rPr/>
            </w:pPr>
            <w:r>
              <w:rPr/>
              <w:t> </w:t>
            </w:r>
          </w:p>
        </w:tc>
        <w:tc>
          <w:tcPr>
            <w:tcW w:w="125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228,836</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8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Yehuda Reznik</w:t>
            </w:r>
            <w:r>
              <w:rPr>
                <w:rFonts w:ascii="Times New Roman;Times;Serif" w:hAnsi="Times New Roman;Times;Serif"/>
                <w:position w:val="7"/>
                <w:sz w:val="16"/>
                <w:sz w:val="20"/>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42,790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185,808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8"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65" w:type="dxa"/>
            <w:tcBorders/>
            <w:shd w:fill="CCEEFF" w:val="clear"/>
            <w:tcMar>
              <w:bottom w:w="0" w:type="dxa"/>
            </w:tcMar>
            <w:vAlign w:val="center"/>
          </w:tcPr>
          <w:p>
            <w:pPr>
              <w:pStyle w:val="TableContents"/>
              <w:bidi w:val="0"/>
              <w:spacing w:before="0" w:after="283"/>
              <w:jc w:val="left"/>
              <w:rPr/>
            </w:pPr>
            <w:r>
              <w:rPr/>
              <w:t> </w:t>
            </w:r>
          </w:p>
        </w:tc>
        <w:tc>
          <w:tcPr>
            <w:tcW w:w="1255" w:type="dxa"/>
            <w:tcBorders/>
            <w:shd w:fill="CCEEFF" w:val="clear"/>
            <w:tcMar>
              <w:bottom w:w="0" w:type="dxa"/>
            </w:tcM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30" w:type="dxa"/>
            <w:tcBorders/>
            <w:shd w:fill="CCEEFF" w:val="clear"/>
            <w:tcMar>
              <w:bottom w:w="0" w:type="dxa"/>
            </w:tcMar>
            <w:vAlign w:val="center"/>
          </w:tcPr>
          <w:p>
            <w:pPr>
              <w:pStyle w:val="TableContents"/>
              <w:bidi w:val="0"/>
              <w:spacing w:before="0" w:after="283"/>
              <w:jc w:val="right"/>
              <w:rPr/>
            </w:pPr>
            <w:r>
              <w:rPr/>
              <w:t>228,334</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35" w:type="dxa"/>
            <w:tcBorders/>
            <w:tcMar>
              <w:bottom w:w="0" w:type="dxa"/>
            </w:tcMar>
            <w:vAlign w:val="center"/>
          </w:tcPr>
          <w:p>
            <w:pPr>
              <w:pStyle w:val="TableContents"/>
              <w:bidi w:val="0"/>
              <w:spacing w:before="0" w:after="283"/>
              <w:jc w:val="left"/>
              <w:rPr/>
            </w:pPr>
            <w:r>
              <w:rPr/>
              <w:t>Benjamin Shapiro</w:t>
            </w:r>
          </w:p>
        </w:tc>
        <w:tc>
          <w:tcPr>
            <w:tcW w:w="90" w:type="dxa"/>
            <w:tcBorders/>
            <w:tcMar>
              <w:bottom w:w="0" w:type="dxa"/>
            </w:tcMar>
            <w:vAlign w:val="center"/>
          </w:tcPr>
          <w:p>
            <w:pPr>
              <w:pStyle w:val="TableContents"/>
              <w:bidi w:val="0"/>
              <w:spacing w:before="0" w:after="283"/>
              <w:jc w:val="left"/>
              <w:rPr/>
            </w:pPr>
            <w:r>
              <w:rPr/>
              <w:t> </w:t>
            </w:r>
          </w:p>
        </w:tc>
        <w:tc>
          <w:tcPr>
            <w:tcW w:w="151" w:type="dxa"/>
            <w:tcBorders/>
            <w:tcMar>
              <w:bottom w:w="0" w:type="dxa"/>
            </w:tcMar>
            <w:vAlign w:val="center"/>
          </w:tcPr>
          <w:p>
            <w:pPr>
              <w:pStyle w:val="TableContents"/>
              <w:bidi w:val="0"/>
              <w:spacing w:before="0" w:after="283"/>
              <w:jc w:val="left"/>
              <w:rPr/>
            </w:pPr>
            <w:r>
              <w:rPr/>
              <w:t> </w:t>
            </w:r>
          </w:p>
        </w:tc>
        <w:tc>
          <w:tcPr>
            <w:tcW w:w="1203" w:type="dxa"/>
            <w:tcBorders/>
            <w:tcMar>
              <w:bottom w:w="0" w:type="dxa"/>
            </w:tcMar>
            <w:vAlign w:val="center"/>
          </w:tcPr>
          <w:p>
            <w:pPr>
              <w:pStyle w:val="TableContents"/>
              <w:bidi w:val="0"/>
              <w:spacing w:before="0" w:after="283"/>
              <w:jc w:val="right"/>
              <w:rPr/>
            </w:pPr>
            <w:r>
              <w:rPr/>
              <w:t>30,000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169,973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8" w:type="dxa"/>
            <w:tcBorders/>
            <w:tcMar>
              <w:bottom w:w="0" w:type="dxa"/>
            </w:tcMar>
            <w:vAlign w:val="center"/>
          </w:tcPr>
          <w:p>
            <w:pPr>
              <w:pStyle w:val="TableContents"/>
              <w:bidi w:val="0"/>
              <w:spacing w:before="0" w:after="283"/>
              <w:jc w:val="left"/>
              <w:rPr/>
            </w:pPr>
            <w:r>
              <w:rPr/>
              <w:t> </w:t>
            </w:r>
          </w:p>
        </w:tc>
        <w:tc>
          <w:tcPr>
            <w:tcW w:w="71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5" w:type="dxa"/>
            <w:tcBorders/>
            <w:tcMar>
              <w:bottom w:w="0" w:type="dxa"/>
            </w:tcMar>
            <w:vAlign w:val="center"/>
          </w:tcPr>
          <w:p>
            <w:pPr>
              <w:pStyle w:val="TableContents"/>
              <w:bidi w:val="0"/>
              <w:spacing w:before="0" w:after="283"/>
              <w:jc w:val="left"/>
              <w:rPr/>
            </w:pPr>
            <w:r>
              <w:rPr/>
              <w:t> </w:t>
            </w:r>
          </w:p>
        </w:tc>
        <w:tc>
          <w:tcPr>
            <w:tcW w:w="1255"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tcBorders/>
            <w:tcMar>
              <w:bottom w:w="0" w:type="dxa"/>
            </w:tcMar>
            <w:vAlign w:val="center"/>
          </w:tcPr>
          <w:p>
            <w:pPr>
              <w:pStyle w:val="TableContents"/>
              <w:bidi w:val="0"/>
              <w:spacing w:before="0" w:after="283"/>
              <w:jc w:val="right"/>
              <w:rPr/>
            </w:pPr>
            <w:r>
              <w:rPr/>
              <w:t>199,973</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2025, our non-employee directors then in office held options to purchase shares of our common stock and RSUs as follows:</w:t>
            </w:r>
          </w:p>
        </w:tc>
      </w:tr>
    </w:tbl>
    <w:p>
      <w:pPr>
        <w:pStyle w:val="TextBody"/>
        <w:bidi w:val="0"/>
        <w:spacing w:before="0" w:after="0"/>
        <w:ind w:left="0" w:right="0" w:hanging="0"/>
        <w:jc w:val="left"/>
        <w:rPr>
          <w:caps w:val="false"/>
          <w:smallCaps w:val="false"/>
        </w:rPr>
      </w:pPr>
      <w:r>
        <w:rPr>
          <w:caps w:val="false"/>
          <w:smallCaps w:val="false"/>
        </w:rPr>
        <w:t> </w:t>
      </w:r>
    </w:p>
    <w:tbl>
      <w:tblPr>
        <w:tblW w:w="4665" w:type="dxa"/>
        <w:jc w:val="left"/>
        <w:tblInd w:w="0" w:type="dxa"/>
        <w:tblLayout w:type="fixed"/>
        <w:tblCellMar>
          <w:top w:w="0" w:type="dxa"/>
          <w:left w:w="0" w:type="dxa"/>
          <w:bottom w:w="28" w:type="dxa"/>
          <w:right w:w="0" w:type="dxa"/>
        </w:tblCellMar>
      </w:tblPr>
      <w:tblGrid>
        <w:gridCol w:w="1850"/>
        <w:gridCol w:w="90"/>
        <w:gridCol w:w="135"/>
        <w:gridCol w:w="1070"/>
        <w:gridCol w:w="90"/>
        <w:gridCol w:w="90"/>
        <w:gridCol w:w="135"/>
        <w:gridCol w:w="1070"/>
        <w:gridCol w:w="135"/>
      </w:tblGrid>
      <w:tr>
        <w:trPr/>
        <w:tc>
          <w:tcPr>
            <w:tcW w:w="1850" w:type="dxa"/>
            <w:tcBorders>
              <w:bottom w:val="single" w:sz="12" w:space="0" w:color="000000"/>
            </w:tcBorders>
            <w:vAlign w:val="center"/>
          </w:tcPr>
          <w:p>
            <w:pPr>
              <w:pStyle w:val="TableContents"/>
              <w:bidi w:val="0"/>
              <w:spacing w:before="0" w:after="283"/>
              <w:jc w:val="left"/>
              <w:rPr>
                <w:b/>
              </w:rPr>
            </w:pPr>
            <w:r>
              <w:rPr>
                <w:b/>
              </w:rPr>
              <w:t>Name of Director</w:t>
            </w:r>
          </w:p>
        </w:tc>
        <w:tc>
          <w:tcPr>
            <w:tcW w:w="9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12" w:space="0" w:color="000000"/>
            </w:tcBorders>
            <w:vAlign w:val="center"/>
          </w:tcPr>
          <w:p>
            <w:pPr>
              <w:pStyle w:val="TableContents"/>
              <w:bidi w:val="0"/>
              <w:spacing w:before="0" w:after="283"/>
              <w:jc w:val="center"/>
              <w:rPr>
                <w:b/>
              </w:rPr>
            </w:pPr>
            <w:r>
              <w:rPr>
                <w:b/>
              </w:rPr>
              <w:t>Aggregate</w:t>
              <w:br/>
              <w:t>Number</w:t>
              <w:br/>
              <w:t>of Shares</w:t>
              <w:br/>
              <w:t>Underlying</w:t>
              <w:br/>
              <w:t>Stock</w:t>
              <w:br/>
              <w:t>Awards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12" w:space="0" w:color="000000"/>
            </w:tcBorders>
            <w:vAlign w:val="center"/>
          </w:tcPr>
          <w:p>
            <w:pPr>
              <w:pStyle w:val="TableContents"/>
              <w:bidi w:val="0"/>
              <w:spacing w:before="0" w:after="283"/>
              <w:jc w:val="center"/>
              <w:rPr>
                <w:b/>
              </w:rPr>
            </w:pPr>
            <w:r>
              <w:rPr>
                <w:b/>
              </w:rPr>
              <w:t>Aggregate</w:t>
              <w:br/>
              <w:t>Number</w:t>
              <w:br/>
              <w:t>of Shares</w:t>
              <w:br/>
              <w:t>Underlying</w:t>
              <w:br/>
              <w:t>Option</w:t>
              <w:br/>
              <w:t>Awards</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Dr. Daniel Aghion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88,343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tcMar>
              <w:bottom w:w="0" w:type="dxa"/>
            </w:tcMar>
            <w:vAlign w:val="center"/>
          </w:tcPr>
          <w:p>
            <w:pPr>
              <w:pStyle w:val="TableContents"/>
              <w:bidi w:val="0"/>
              <w:spacing w:before="0" w:after="283"/>
              <w:jc w:val="left"/>
              <w:rPr/>
            </w:pPr>
            <w:r>
              <w:rPr/>
              <w:t>Dr. Arie Mayer</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94,644</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30,000</w:t>
            </w:r>
          </w:p>
        </w:tc>
        <w:tc>
          <w:tcPr>
            <w:tcW w:w="135" w:type="dxa"/>
            <w:tcBorders/>
            <w:tcMar>
              <w:bottom w:w="0" w:type="dxa"/>
            </w:tcMar>
            <w:vAlign w:val="center"/>
          </w:tcPr>
          <w:p>
            <w:pPr>
              <w:pStyle w:val="TableContents"/>
              <w:bidi w:val="0"/>
              <w:spacing w:before="0" w:after="283"/>
              <w:ind w:left="0" w:right="0" w:hanging="180"/>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pPr>
            <w:r>
              <w:rPr/>
              <w:t>Yehuda Reznik</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83,343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850" w:type="dxa"/>
            <w:tcBorders/>
            <w:tcMar>
              <w:bottom w:w="0" w:type="dxa"/>
            </w:tcMar>
            <w:vAlign w:val="center"/>
          </w:tcPr>
          <w:p>
            <w:pPr>
              <w:pStyle w:val="TableContents"/>
              <w:bidi w:val="0"/>
              <w:spacing w:before="0" w:after="283"/>
              <w:jc w:val="left"/>
              <w:rPr/>
            </w:pPr>
            <w:r>
              <w:rPr/>
              <w:t>Benjamin Shapiro</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86,329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reflect the grant date fair value, as calculated pursuant to ASC 718, of these option awards. The assumptions used to determine the fair value of the option awards are set forth in note 14 to our audited consolidated financial statements included in the Annual Report. Our directors will not realize the value of these awards in cash unless and until these awards are exercised and the underlying shares subsequently sold.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69</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reimbursement for reasonable travel and other out-of-pocket expenses incurred in connection with attendance at meetings of our Board. Based on a report provided to the Compensation Committee by Aon in 2023, effective as of January 1, 2025, each independent director is entitled to receive as remuneration for his or her service as a member of the Board a sum equal to $40,000 per annum (of which $30,000 in cash and RSU valued at $10,000 at the date of the grant, vested in 4 quarterly installments). The members of our Audit Committee are each entitled to receive an additional sum equal to $10,000 (of which $6,000 in cash and RSU valued at $4,000 at the date of the grant, vested in 4 quarterly installments) . The members of our Compensation Committee are each entitled to receive an additional sum equal to $7,500 (of which $4,500 in cash and RSU valued at $3,000 at the date of the grant, vested in 4 quarterly installments). The members of our Nominating Committee are each entitled to receive an additional sum equal to $5,000 (of which $4,000 in cash and RSU valued at $1,000 at the date of the grant, vested in 4 quarterly installments). The members of our Investment Committee are each entitled to receive an additional sum equal to $5,000 (of which $4,000 in cash and RSU valued at $1,000 at the date of the grant, vested in 4 quarterly installments). In addition, all board members are entitled to an annual grant of 30,000 RSU that are vested in 3 annual installments. All cash remuneration is to be paid quarterly after the close of each quarter. The RSUs vested in four equal installments on upon grant, on July 1, October 1 and January 1, 2026, subject to Compensation Committee approval each year. Our executive officers did not receive additional compensation for service as directors. The Board may award special remuneration to any director undertaking any special services on behalf of us other than services ordinarily required of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Compensation Committee, approved that in addition to the current annual compensation for the board members, a flat cash fee of $500 per meeting will be paid to each director for attendance at every meeting beyond six meetings per year, and an additional $2,000 in cash will be paid to each director per meeting of over three hours which he or she attends, regardless of the number of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we have no present formal plan for compensating our directors for their service in their capacity as directors. Other than indicated above, no director received and/or accrued any compensation for his services as a director, including committee participation and/or special assignments during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Company’s Policies and Practices Related to the Grant of Certain Equity Awards Close in Time to the Release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the 2008 Plan and the 2019 Plan in order to attract and retain quality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2008 Plan, which is no longer utilized for new grants, provided for the grant of stock options, restricted stock, RSUs, and stock appreciation rights, collectively referred to as “awards.” Under the 2008 Plan, as amended, 2,400,000 shares were reserved for the grant of awards. As of December 31, 2025, options with respect to 2,287,989 shares had been granted, of which 275,673 had been forfeited, 308,804 had been exercised and 1,420,504 have expired. As of December 31, 2025, 525,824 RSUs had been granted, of which 89,636 have vested and the shares of common stock underlying those RSUs have not been issued and 34,118 have been forfeited.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Plan provides for the grant of stock options, restricted stock, RSUs, and stock appreciation rights, collectively referred to as “awards.” Under the 2019 Plan, 1,000,000 shares were initially reserved for the grant of awards. On June 29, 2020, and August 3, 2020, respectively, our Board and stockholders approved to amend and restate the 2019 Plan, the principal change being an increase in the number of shares of common stock available under the 2019 Plan from 1,000,000 shares to 3,000,000 shares. On June 30, 2022, our Board and stockholders approved to amend and restate the 2019 Plan, the principal change being an increase in the number of shares of common stock available under the 2019 Plan from 3,000,000 shares to 7,500,000 shares. On August 19, 2025, our Board and stockholders approved to amend and restate the 2019 Plan, the principal change being an increase in the number of shares of common stock available under the 2019 Plan from 2,000,000 shares to 9,500,000 shares. Stock options granted under the 2019 Plan may be either incentive stock options under the provisions of Section 422 of the Code, or non-qualified stock options. Under the amended 2019 Plan, 9,500,000 shares are reserved for the grant of awards, which may be issued at the discretion of our Board from time to time. As of December 31, 2025, options with respect to 1,863,646 shares have been granted, of which 297,668 had been forfeited, 66,978 had been exercised, 74,625 had been expired and 37,442 Returned to the pool. As of December 31, 2025, 8,036,851 RSUs had been granted, of which 863,292 have vested and the shares of common stock underlying those RSUs have not been issued, 815,121 have been forfeited and 103,413 Returned to the pool.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additional information with respect to our equity compensation plans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67"/>
        <w:gridCol w:w="90"/>
        <w:gridCol w:w="104"/>
        <w:gridCol w:w="1186"/>
        <w:gridCol w:w="90"/>
        <w:gridCol w:w="90"/>
        <w:gridCol w:w="375"/>
        <w:gridCol w:w="1041"/>
        <w:gridCol w:w="90"/>
        <w:gridCol w:w="90"/>
        <w:gridCol w:w="141"/>
        <w:gridCol w:w="1304"/>
        <w:gridCol w:w="137"/>
      </w:tblGrid>
      <w:tr>
        <w:trPr/>
        <w:tc>
          <w:tcPr>
            <w:tcW w:w="5467" w:type="dxa"/>
            <w:tcBorders>
              <w:bottom w:val="single" w:sz="12" w:space="0" w:color="000000"/>
            </w:tcBorders>
            <w:vAlign w:val="center"/>
          </w:tcPr>
          <w:p>
            <w:pPr>
              <w:pStyle w:val="TableContents"/>
              <w:bidi w:val="0"/>
              <w:spacing w:before="0" w:after="283"/>
              <w:jc w:val="left"/>
              <w:rPr>
                <w:b/>
              </w:rPr>
            </w:pPr>
            <w:r>
              <w:rPr>
                <w:b/>
              </w:rPr>
              <w:t>Plan category</w:t>
            </w:r>
          </w:p>
        </w:tc>
        <w:tc>
          <w:tcPr>
            <w:tcW w:w="90" w:type="dxa"/>
            <w:tcBorders/>
            <w:tcMar>
              <w:bottom w:w="0" w:type="dxa"/>
            </w:tcMar>
            <w:vAlign w:val="center"/>
          </w:tcPr>
          <w:p>
            <w:pPr>
              <w:pStyle w:val="TableContents"/>
              <w:bidi w:val="0"/>
              <w:spacing w:before="0" w:after="283"/>
              <w:jc w:val="left"/>
              <w:rPr/>
            </w:pPr>
            <w:r>
              <w:rPr/>
              <w:t> </w:t>
            </w:r>
          </w:p>
        </w:tc>
        <w:tc>
          <w:tcPr>
            <w:tcW w:w="1290" w:type="dxa"/>
            <w:gridSpan w:val="2"/>
            <w:tcBorders>
              <w:bottom w:val="single" w:sz="12" w:space="0" w:color="000000"/>
            </w:tcBorders>
            <w:vAlign w:val="center"/>
          </w:tcPr>
          <w:p>
            <w:pPr>
              <w:pStyle w:val="TableContents"/>
              <w:bidi w:val="0"/>
              <w:spacing w:before="0" w:after="283"/>
              <w:jc w:val="center"/>
              <w:rPr>
                <w:b/>
              </w:rPr>
            </w:pPr>
            <w:r>
              <w:rPr>
                <w:b/>
              </w:rPr>
              <w:t>Number of</w:t>
              <w:br/>
              <w:t>securities to</w:t>
              <w:br/>
              <w:t>be issued</w:t>
              <w:br/>
              <w:t>upon</w:t>
              <w:br/>
              <w:t>exercise of</w:t>
              <w:br/>
              <w:t>outstanding</w:t>
              <w:br/>
              <w:t>options, and</w:t>
              <w:br/>
              <w:t>rights (a)</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6" w:type="dxa"/>
            <w:gridSpan w:val="2"/>
            <w:tcBorders>
              <w:bottom w:val="single" w:sz="12" w:space="0" w:color="000000"/>
            </w:tcBorders>
            <w:vAlign w:val="center"/>
          </w:tcPr>
          <w:p>
            <w:pPr>
              <w:pStyle w:val="TableContents"/>
              <w:bidi w:val="0"/>
              <w:spacing w:before="0" w:after="283"/>
              <w:jc w:val="center"/>
              <w:rPr>
                <w:b/>
              </w:rPr>
            </w:pPr>
            <w:r>
              <w:rPr>
                <w:b/>
              </w:rPr>
              <w:t>Weight-</w:t>
              <w:br/>
              <w:t>average</w:t>
              <w:br/>
              <w:t>exercise</w:t>
              <w:br/>
              <w:t>price of</w:t>
              <w:br/>
              <w:t>outstanding</w:t>
              <w:br/>
              <w:t>options,</w:t>
              <w:br/>
              <w:t>and rights (b)</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12" w:space="0" w:color="000000"/>
            </w:tcBorders>
            <w:vAlign w:val="center"/>
          </w:tcPr>
          <w:p>
            <w:pPr>
              <w:pStyle w:val="TableContents"/>
              <w:bidi w:val="0"/>
              <w:spacing w:before="0" w:after="283"/>
              <w:jc w:val="center"/>
              <w:rPr>
                <w:b/>
              </w:rPr>
            </w:pPr>
            <w:r>
              <w:rPr>
                <w:b/>
              </w:rPr>
              <w:t>Number of</w:t>
              <w:br/>
              <w:t>securities</w:t>
              <w:br/>
              <w:t>remaining</w:t>
              <w:br/>
              <w:t>available for</w:t>
              <w:br/>
              <w:t>future</w:t>
              <w:br/>
              <w:t>issuance</w:t>
              <w:br/>
              <w:t>under equity</w:t>
              <w:br/>
              <w:t>compensation</w:t>
              <w:br/>
              <w:t>plans</w:t>
              <w:br/>
              <w:t>(excluding</w:t>
              <w:br/>
              <w:t>securities</w:t>
              <w:br/>
              <w:t>reflected in</w:t>
              <w:br/>
              <w:t xml:space="preserve">column (a) </w:t>
              <w:br/>
              <w:t>(c) (*)</w:t>
            </w:r>
          </w:p>
        </w:tc>
        <w:tc>
          <w:tcPr>
            <w:tcW w:w="137" w:type="dxa"/>
            <w:tcBorders/>
            <w:tcMar>
              <w:bottom w:w="0" w:type="dxa"/>
            </w:tcMar>
            <w:vAlign w:val="center"/>
          </w:tcPr>
          <w:p>
            <w:pPr>
              <w:pStyle w:val="TableContents"/>
              <w:bidi w:val="0"/>
              <w:spacing w:before="0" w:after="283"/>
              <w:jc w:val="left"/>
              <w:rPr/>
            </w:pPr>
            <w:r>
              <w:rPr/>
              <w:t> </w:t>
            </w:r>
          </w:p>
        </w:tc>
      </w:tr>
      <w:tr>
        <w:trPr/>
        <w:tc>
          <w:tcPr>
            <w:tcW w:w="5467"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1,707,383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jc w:val="left"/>
              <w:rPr/>
            </w:pPr>
            <w:r>
              <w:rPr/>
              <w:t>$</w:t>
            </w:r>
          </w:p>
        </w:tc>
        <w:tc>
          <w:tcPr>
            <w:tcW w:w="1041" w:type="dxa"/>
            <w:tcBorders/>
            <w:shd w:fill="CCEEFF" w:val="clear"/>
            <w:tcMar>
              <w:bottom w:w="0" w:type="dxa"/>
            </w:tcMar>
            <w:vAlign w:val="center"/>
          </w:tcPr>
          <w:p>
            <w:pPr>
              <w:pStyle w:val="TableContents"/>
              <w:bidi w:val="0"/>
              <w:spacing w:before="0" w:after="283"/>
              <w:jc w:val="right"/>
              <w:rPr/>
            </w:pPr>
            <w:r>
              <w:rPr/>
              <w:t>6.44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927,752</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5467" w:type="dxa"/>
            <w:tcBorders/>
            <w:tcMar>
              <w:bottom w:w="0" w:type="dxa"/>
            </w:tcMar>
            <w:vAlign w:val="center"/>
          </w:tcPr>
          <w:p>
            <w:pPr>
              <w:pStyle w:val="TableContents"/>
              <w:bidi w:val="0"/>
              <w:spacing w:before="0" w:after="283"/>
              <w:jc w:val="left"/>
              <w:rPr/>
            </w:pPr>
            <w:r>
              <w:rPr/>
              <w:t>Equity compensation plans not approved by security holders</w:t>
            </w:r>
          </w:p>
        </w:tc>
        <w:tc>
          <w:tcPr>
            <w:tcW w:w="90" w:type="dxa"/>
            <w:tcBorders/>
            <w:tcMar>
              <w:bottom w:w="0" w:type="dxa"/>
            </w:tcMar>
            <w:vAlign w:val="center"/>
          </w:tcPr>
          <w:p>
            <w:pPr>
              <w:pStyle w:val="TableContents"/>
              <w:bidi w:val="0"/>
              <w:spacing w:before="0" w:after="283"/>
              <w:jc w:val="left"/>
              <w:rPr/>
            </w:pPr>
            <w:r>
              <w:rPr/>
              <w:t> </w:t>
            </w:r>
          </w:p>
        </w:tc>
        <w:tc>
          <w:tcPr>
            <w:tcW w:w="104" w:type="dxa"/>
            <w:tcBorders/>
            <w:tcMar>
              <w:bottom w:w="0" w:type="dxa"/>
            </w:tcMar>
            <w:vAlign w:val="center"/>
          </w:tcPr>
          <w:p>
            <w:pPr>
              <w:pStyle w:val="TableContents"/>
              <w:bidi w:val="0"/>
              <w:spacing w:before="0" w:after="283"/>
              <w:jc w:val="left"/>
              <w:rPr/>
            </w:pPr>
            <w:r>
              <w:rPr/>
              <w:t> </w:t>
            </w:r>
          </w:p>
        </w:tc>
        <w:tc>
          <w:tcPr>
            <w:tcW w:w="1186"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75" w:type="dxa"/>
            <w:tcBorders/>
            <w:tcMar>
              <w:bottom w:w="0" w:type="dxa"/>
            </w:tcMar>
            <w:vAlign w:val="center"/>
          </w:tcPr>
          <w:p>
            <w:pPr>
              <w:pStyle w:val="TableContents"/>
              <w:bidi w:val="0"/>
              <w:spacing w:before="0" w:after="283"/>
              <w:jc w:val="left"/>
              <w:rPr/>
            </w:pPr>
            <w:r>
              <w:rPr/>
              <w:t> </w:t>
            </w:r>
          </w:p>
        </w:tc>
        <w:tc>
          <w:tcPr>
            <w:tcW w:w="1041"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41" w:type="dxa"/>
            <w:tcBorders/>
            <w:tcMar>
              <w:bottom w:w="0" w:type="dxa"/>
            </w:tcMar>
            <w:vAlign w:val="center"/>
          </w:tcPr>
          <w:p>
            <w:pPr>
              <w:pStyle w:val="TableContents"/>
              <w:bidi w:val="0"/>
              <w:spacing w:before="0" w:after="283"/>
              <w:jc w:val="left"/>
              <w:rPr/>
            </w:pPr>
            <w:r>
              <w:rPr/>
              <w:t> </w:t>
            </w:r>
          </w:p>
        </w:tc>
        <w:tc>
          <w:tcPr>
            <w:tcW w:w="1304"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 </w:t>
            </w:r>
          </w:p>
        </w:tc>
      </w:tr>
      <w:tr>
        <w:trPr/>
        <w:tc>
          <w:tcPr>
            <w:tcW w:w="5467" w:type="dxa"/>
            <w:tcBorders/>
            <w:shd w:fill="CCEEFF" w:val="clear"/>
            <w:tcMar>
              <w:bottom w:w="0" w:type="dxa"/>
            </w:tcMar>
            <w:vAlign w:val="center"/>
          </w:tcPr>
          <w:p>
            <w:pPr>
              <w:pStyle w:val="TableContents"/>
              <w:bidi w:val="0"/>
              <w:spacing w:before="0" w:after="283"/>
              <w:jc w:val="left"/>
              <w:rPr/>
            </w:pPr>
            <w:r>
              <w:rPr/>
              <w:t>Total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186" w:type="dxa"/>
            <w:tcBorders/>
            <w:shd w:fill="CCEEFF" w:val="clear"/>
            <w:tcMar>
              <w:bottom w:w="0" w:type="dxa"/>
            </w:tcMar>
            <w:vAlign w:val="center"/>
          </w:tcPr>
          <w:p>
            <w:pPr>
              <w:pStyle w:val="TableContents"/>
              <w:bidi w:val="0"/>
              <w:spacing w:before="0" w:after="283"/>
              <w:jc w:val="right"/>
              <w:rPr/>
            </w:pPr>
            <w:r>
              <w:rPr/>
              <w:t>1,707,383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5" w:type="dxa"/>
            <w:tcBorders/>
            <w:shd w:fill="CCEEFF" w:val="clear"/>
            <w:tcMar>
              <w:bottom w:w="0" w:type="dxa"/>
            </w:tcMar>
            <w:vAlign w:val="center"/>
          </w:tcPr>
          <w:p>
            <w:pPr>
              <w:pStyle w:val="TableContents"/>
              <w:bidi w:val="0"/>
              <w:spacing w:before="0" w:after="283"/>
              <w:jc w:val="left"/>
              <w:rPr/>
            </w:pPr>
            <w:r>
              <w:rPr/>
              <w:t>$</w:t>
            </w:r>
          </w:p>
        </w:tc>
        <w:tc>
          <w:tcPr>
            <w:tcW w:w="1041" w:type="dxa"/>
            <w:tcBorders/>
            <w:shd w:fill="CCEEFF" w:val="clear"/>
            <w:tcMar>
              <w:bottom w:w="0" w:type="dxa"/>
            </w:tcMar>
            <w:vAlign w:val="center"/>
          </w:tcPr>
          <w:p>
            <w:pPr>
              <w:pStyle w:val="TableContents"/>
              <w:bidi w:val="0"/>
              <w:spacing w:before="0" w:after="283"/>
              <w:jc w:val="right"/>
              <w:rPr/>
            </w:pPr>
            <w:r>
              <w:rPr/>
              <w:t>6.44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304" w:type="dxa"/>
            <w:tcBorders/>
            <w:shd w:fill="CCEEFF" w:val="clear"/>
            <w:tcMar>
              <w:bottom w:w="0" w:type="dxa"/>
            </w:tcMar>
            <w:vAlign w:val="center"/>
          </w:tcPr>
          <w:p>
            <w:pPr>
              <w:pStyle w:val="TableContents"/>
              <w:bidi w:val="0"/>
              <w:spacing w:before="0" w:after="283"/>
              <w:jc w:val="right"/>
              <w:rPr/>
            </w:pPr>
            <w:r>
              <w:rPr/>
              <w:t>927,752</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335"/>
        <w:gridCol w:w="1580"/>
      </w:tblGrid>
      <w:tr>
        <w:trPr/>
        <w:tc>
          <w:tcPr>
            <w:tcW w:w="335" w:type="dxa"/>
            <w:tcBorders/>
            <w:vAlign w:val="center"/>
          </w:tcPr>
          <w:p>
            <w:pPr>
              <w:pStyle w:val="TableContents"/>
              <w:bidi w:val="0"/>
              <w:spacing w:before="0" w:after="283"/>
              <w:jc w:val="left"/>
              <w:rPr>
                <w:b/>
              </w:rPr>
            </w:pPr>
            <w:r>
              <w:rPr>
                <w:b/>
              </w:rPr>
              <w:t>(*)</w:t>
            </w:r>
          </w:p>
        </w:tc>
        <w:tc>
          <w:tcPr>
            <w:tcW w:w="1580" w:type="dxa"/>
            <w:tcBorders/>
            <w:vAlign w:val="center"/>
          </w:tcPr>
          <w:p>
            <w:pPr>
              <w:pStyle w:val="TableContents"/>
              <w:bidi w:val="0"/>
              <w:spacing w:before="0" w:after="283"/>
              <w:jc w:val="both"/>
              <w:rPr/>
            </w:pPr>
            <w:r>
              <w:rPr/>
              <w:t>Includes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beneficial ownership of our common stock as of March 26, 2026 by: (1) each person who is known by us to own beneficially more than 5% of our common stock; (2) each of our current directors; (3) each of our NEOs; and (4) all of our directors and executive officers as a group. On such date, we had 40,446,179 shares of common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table below and elsewhere in this form, the term “beneficial ownership” with respect to a security consists of sole or shared voting power, including the power to vote or direct the vote, and/or sole or shared investment power, including the power to dispose or direct the disposition, with respect to the security through any contract, arrangement, understanding, relationship or otherwise, including a right to acquire such power(s) during the 60 days following March 26, 2026. Inclusion of shares in the table does not, however, constitute an admission that the named stockholder is a direct or indirect beneficial owner of those shares. Unless otherwise indicated, (1) each person or entity named in the table has sole voting power and investment power (or shares that power with that person’s spouse) with respect to all shares of common stock listed as owned by that person or entity and (2) the address of each of the individuals named below is: c/o Oramed Pharmaceuticals Inc., 1185 Avenue of the Americas, Third Floor, New York, New York 10036.</w:t>
      </w:r>
    </w:p>
    <w:p>
      <w:pPr>
        <w:pStyle w:val="TextBody"/>
        <w:bidi w:val="0"/>
        <w:spacing w:before="0" w:after="0"/>
        <w:ind w:left="0" w:right="0" w:firstLine="720"/>
        <w:jc w:val="both"/>
        <w:rPr>
          <w:caps w:val="false"/>
          <w:smallCaps w:val="false"/>
        </w:rPr>
      </w:pPr>
      <w:r>
        <w:rPr>
          <w:caps w:val="false"/>
          <w:smallCaps w:val="false"/>
        </w:rPr>
        <w:t> </w:t>
      </w:r>
    </w:p>
    <w:tbl>
      <w:tblPr>
        <w:tblW w:w="9759" w:type="dxa"/>
        <w:jc w:val="left"/>
        <w:tblInd w:w="0" w:type="dxa"/>
        <w:tblLayout w:type="fixed"/>
        <w:tblCellMar>
          <w:top w:w="0" w:type="dxa"/>
          <w:left w:w="0" w:type="dxa"/>
          <w:bottom w:w="28" w:type="dxa"/>
          <w:right w:w="0" w:type="dxa"/>
        </w:tblCellMar>
      </w:tblPr>
      <w:tblGrid>
        <w:gridCol w:w="6635"/>
        <w:gridCol w:w="90"/>
        <w:gridCol w:w="94"/>
        <w:gridCol w:w="1065"/>
        <w:gridCol w:w="275"/>
        <w:gridCol w:w="90"/>
        <w:gridCol w:w="161"/>
        <w:gridCol w:w="1059"/>
        <w:gridCol w:w="290"/>
      </w:tblGrid>
      <w:tr>
        <w:trPr/>
        <w:tc>
          <w:tcPr>
            <w:tcW w:w="6635" w:type="dxa"/>
            <w:tcBorders>
              <w:bottom w:val="single" w:sz="12" w:space="0" w:color="000000"/>
            </w:tcBorders>
            <w:vAlign w:val="center"/>
          </w:tcPr>
          <w:p>
            <w:pPr>
              <w:pStyle w:val="TableContents"/>
              <w:bidi w:val="0"/>
              <w:spacing w:before="0" w:after="283"/>
              <w:jc w:val="left"/>
              <w:rPr>
                <w:b/>
              </w:rPr>
            </w:pPr>
            <w:r>
              <w:rPr>
                <w:b/>
              </w:rPr>
              <w:t>Name and Address of Beneficial Owner</w:t>
            </w:r>
          </w:p>
        </w:tc>
        <w:tc>
          <w:tcPr>
            <w:tcW w:w="9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20" w:type="dxa"/>
            <w:gridSpan w:val="2"/>
            <w:tcBorders>
              <w:bottom w:val="single" w:sz="12" w:space="0" w:color="000000"/>
            </w:tcBorders>
            <w:vAlign w:val="center"/>
          </w:tcPr>
          <w:p>
            <w:pPr>
              <w:pStyle w:val="TableContents"/>
              <w:bidi w:val="0"/>
              <w:spacing w:before="0" w:after="283"/>
              <w:jc w:val="center"/>
              <w:rPr>
                <w:b/>
              </w:rPr>
            </w:pPr>
            <w:r>
              <w:rPr>
                <w:b/>
              </w:rPr>
              <w:t>Percentage</w:t>
              <w:br/>
              <w:t>of Shares</w:t>
              <w:br/>
              <w:t>Beneficially</w:t>
              <w:br/>
              <w:t>Owned</w:t>
            </w:r>
          </w:p>
        </w:tc>
        <w:tc>
          <w:tcPr>
            <w:tcW w:w="290"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Nadav Kidron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3,865,415</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9.51</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35" w:type="dxa"/>
            <w:tcBorders/>
            <w:tcMar>
              <w:bottom w:w="0" w:type="dxa"/>
            </w:tcMar>
            <w:vAlign w:val="center"/>
          </w:tcPr>
          <w:p>
            <w:pPr>
              <w:pStyle w:val="TableContents"/>
              <w:bidi w:val="0"/>
              <w:spacing w:before="0" w:after="283"/>
              <w:jc w:val="left"/>
              <w:rPr/>
            </w:pPr>
            <w:r>
              <w:rPr/>
              <w:t>Dr. Miriam Kidron #+</w:t>
            </w:r>
          </w:p>
        </w:tc>
        <w:tc>
          <w:tcPr>
            <w:tcW w:w="9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1,621,858</w:t>
            </w:r>
          </w:p>
        </w:tc>
        <w:tc>
          <w:tcPr>
            <w:tcW w:w="275" w:type="dxa"/>
            <w:tcBorders/>
            <w:tcMar>
              <w:bottom w:w="0" w:type="dxa"/>
            </w:tcMar>
            <w:vAlign w:val="center"/>
          </w:tcPr>
          <w:p>
            <w:pPr>
              <w:pStyle w:val="TableContents"/>
              <w:bidi w:val="0"/>
              <w:spacing w:before="0" w:after="283"/>
              <w:jc w:val="left"/>
              <w:rPr>
                <w:position w:val="8"/>
                <w:sz w:val="19"/>
              </w:rPr>
            </w:pPr>
            <w:r>
              <w:rPr>
                <w:position w:val="8"/>
                <w:sz w:val="19"/>
              </w:rPr>
              <w:t>(2)</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pPr>
            <w:r>
              <w:rPr/>
              <w:t>3.92</w:t>
            </w:r>
          </w:p>
        </w:tc>
        <w:tc>
          <w:tcPr>
            <w:tcW w:w="290" w:type="dxa"/>
            <w:tcBorders/>
            <w:tcMar>
              <w:bottom w:w="0" w:type="dxa"/>
            </w:tcMar>
            <w:vAlign w:val="center"/>
          </w:tcPr>
          <w:p>
            <w:pPr>
              <w:pStyle w:val="TableContents"/>
              <w:bidi w:val="0"/>
              <w:spacing w:before="0" w:after="283"/>
              <w:jc w:val="left"/>
              <w:rPr/>
            </w:pPr>
            <w:r>
              <w:rPr/>
              <w:t>%</w:t>
            </w:r>
          </w:p>
        </w:tc>
      </w:tr>
      <w:tr>
        <w:trPr/>
        <w:tc>
          <w:tcPr>
            <w:tcW w:w="6635" w:type="dxa"/>
            <w:tcBorders/>
            <w:shd w:fill="CCEEFF" w:val="clear"/>
            <w:tcMar>
              <w:bottom w:w="0" w:type="dxa"/>
            </w:tcMar>
            <w:vAlign w:val="center"/>
          </w:tcPr>
          <w:p>
            <w:pPr>
              <w:pStyle w:val="TableContents"/>
              <w:bidi w:val="0"/>
              <w:spacing w:before="0" w:after="283"/>
              <w:jc w:val="left"/>
              <w:rPr/>
            </w:pPr>
            <w:r>
              <w:rPr/>
              <w:t>Joshua Hexter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1,039,317</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2.57</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35" w:type="dxa"/>
            <w:tcBorders/>
            <w:tcMar>
              <w:bottom w:w="0" w:type="dxa"/>
            </w:tcMar>
            <w:vAlign w:val="center"/>
          </w:tcPr>
          <w:p>
            <w:pPr>
              <w:pStyle w:val="TableContents"/>
              <w:bidi w:val="0"/>
              <w:spacing w:before="0" w:after="283"/>
              <w:jc w:val="left"/>
              <w:rPr/>
            </w:pPr>
            <w:r>
              <w:rPr/>
              <w:t>Dr. Daniel Aghion #</w:t>
            </w:r>
          </w:p>
        </w:tc>
        <w:tc>
          <w:tcPr>
            <w:tcW w:w="9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28,820</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Dr. Arie Mayer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134,334</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pPr>
            <w:r>
              <w:rPr/>
              <w:t>Yehuda Reznik#</w:t>
            </w:r>
          </w:p>
        </w:tc>
        <w:tc>
          <w:tcPr>
            <w:tcW w:w="9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42,993</w:t>
            </w:r>
          </w:p>
        </w:tc>
        <w:tc>
          <w:tcPr>
            <w:tcW w:w="275" w:type="dxa"/>
            <w:tcBorders/>
            <w:tcMar>
              <w:bottom w:w="0" w:type="dxa"/>
            </w:tcMar>
            <w:vAlign w:val="center"/>
          </w:tcPr>
          <w:p>
            <w:pPr>
              <w:pStyle w:val="TableContents"/>
              <w:bidi w:val="0"/>
              <w:spacing w:before="0" w:after="283"/>
              <w:jc w:val="left"/>
              <w:rPr>
                <w:position w:val="8"/>
                <w:sz w:val="19"/>
              </w:rPr>
            </w:pPr>
            <w:r>
              <w:rPr>
                <w:position w:val="8"/>
                <w:sz w:val="19"/>
              </w:rPr>
              <w:t>(5)</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0"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Benjamin Shapiro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1,960,595</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4.85</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 </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All current executive officers and directors, as a group (eight persons)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9,024,705</w:t>
            </w:r>
          </w:p>
        </w:tc>
        <w:tc>
          <w:tcPr>
            <w:tcW w:w="27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22.17</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6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 </w:t>
            </w:r>
          </w:p>
        </w:tc>
        <w:tc>
          <w:tcPr>
            <w:tcW w:w="27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6635" w:type="dxa"/>
            <w:tcBorders/>
            <w:shd w:fill="CCEEFF" w:val="clear"/>
            <w:tcMar>
              <w:bottom w:w="0" w:type="dxa"/>
            </w:tcMar>
            <w:vAlign w:val="center"/>
          </w:tcPr>
          <w:p>
            <w:pPr>
              <w:pStyle w:val="TableContents"/>
              <w:bidi w:val="0"/>
              <w:spacing w:before="0" w:after="283"/>
              <w:jc w:val="left"/>
              <w:rPr/>
            </w:pPr>
            <w:r>
              <w:rPr/>
              <w:t>Greater than 5% holders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 w:type="dxa"/>
            <w:tcBorders/>
            <w:shd w:fill="CCEEFF" w:val="clear"/>
            <w:tcMar>
              <w:bottom w:w="0" w:type="dxa"/>
            </w:tcMar>
            <w:vAlign w:val="center"/>
          </w:tcPr>
          <w:p>
            <w:pPr>
              <w:pStyle w:val="TableContents"/>
              <w:bidi w:val="0"/>
              <w:spacing w:before="0" w:after="283"/>
              <w:jc w:val="left"/>
              <w:rPr/>
            </w:pPr>
            <w:r>
              <w:rPr/>
              <w:t> </w:t>
            </w:r>
          </w:p>
        </w:tc>
        <w:tc>
          <w:tcPr>
            <w:tcW w:w="1065"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pPr>
            <w:r>
              <w:rPr/>
              <w:t>BML Investment Partners, L.P.</w:t>
            </w:r>
          </w:p>
        </w:tc>
        <w:tc>
          <w:tcPr>
            <w:tcW w:w="9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65" w:type="dxa"/>
            <w:tcBorders/>
            <w:tcMar>
              <w:bottom w:w="0" w:type="dxa"/>
            </w:tcMar>
            <w:vAlign w:val="center"/>
          </w:tcPr>
          <w:p>
            <w:pPr>
              <w:pStyle w:val="TableContents"/>
              <w:bidi w:val="0"/>
              <w:spacing w:before="0" w:after="283"/>
              <w:jc w:val="right"/>
              <w:rPr/>
            </w:pPr>
            <w:r>
              <w:rPr/>
              <w:t>3,167,231</w:t>
            </w:r>
          </w:p>
        </w:tc>
        <w:tc>
          <w:tcPr>
            <w:tcW w:w="275" w:type="dxa"/>
            <w:tcBorders/>
            <w:tcMar>
              <w:bottom w:w="0" w:type="dxa"/>
            </w:tcMar>
            <w:vAlign w:val="center"/>
          </w:tcPr>
          <w:p>
            <w:pPr>
              <w:pStyle w:val="TableContents"/>
              <w:bidi w:val="0"/>
              <w:spacing w:before="0" w:after="283"/>
              <w:jc w:val="left"/>
              <w:rPr>
                <w:position w:val="8"/>
                <w:sz w:val="19"/>
              </w:rPr>
            </w:pPr>
            <w:r>
              <w:rPr>
                <w:position w:val="8"/>
                <w:sz w:val="19"/>
              </w:rPr>
              <w:t>(8)</w:t>
            </w:r>
          </w:p>
        </w:tc>
        <w:tc>
          <w:tcPr>
            <w:tcW w:w="90" w:type="dxa"/>
            <w:tcBorders/>
            <w:tcMar>
              <w:bottom w:w="0" w:type="dxa"/>
            </w:tcMar>
            <w:vAlign w:val="center"/>
          </w:tcPr>
          <w:p>
            <w:pPr>
              <w:pStyle w:val="TableContents"/>
              <w:bidi w:val="0"/>
              <w:spacing w:before="0" w:after="283"/>
              <w:jc w:val="left"/>
              <w:rPr/>
            </w:pPr>
            <w:r>
              <w:rPr/>
              <w:t> </w:t>
            </w:r>
          </w:p>
        </w:tc>
        <w:tc>
          <w:tcPr>
            <w:tcW w:w="161" w:type="dxa"/>
            <w:tcBorders/>
            <w:tcMar>
              <w:bottom w:w="0" w:type="dxa"/>
            </w:tcMar>
            <w:vAlign w:val="center"/>
          </w:tcPr>
          <w:p>
            <w:pPr>
              <w:pStyle w:val="TableContents"/>
              <w:bidi w:val="0"/>
              <w:spacing w:before="0" w:after="283"/>
              <w:jc w:val="left"/>
              <w:rPr/>
            </w:pPr>
            <w:r>
              <w:rPr/>
              <w:t> </w:t>
            </w:r>
          </w:p>
        </w:tc>
        <w:tc>
          <w:tcPr>
            <w:tcW w:w="1059" w:type="dxa"/>
            <w:tcBorders/>
            <w:tcMar>
              <w:bottom w:w="0" w:type="dxa"/>
            </w:tcMar>
            <w:vAlign w:val="center"/>
          </w:tcPr>
          <w:p>
            <w:pPr>
              <w:pStyle w:val="TableContents"/>
              <w:bidi w:val="0"/>
              <w:spacing w:before="0" w:after="283"/>
              <w:jc w:val="right"/>
              <w:rPr/>
            </w:pPr>
            <w:r>
              <w:rPr/>
              <w:t>7.83</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70"/>
        <w:gridCol w:w="117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0"/>
        <w:ind w:left="720" w:right="0" w:hanging="720"/>
        <w:jc w:val="both"/>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170"/>
        <w:gridCol w:w="75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720" w:right="0" w:hanging="720"/>
        <w:jc w:val="both"/>
        <w:rPr>
          <w:caps w:val="false"/>
          <w:smallCaps w:val="false"/>
        </w:rPr>
      </w:pPr>
      <w:r>
        <w:rPr>
          <w:caps w:val="false"/>
          <w:smallCaps w:val="false"/>
        </w:rPr>
        <w:t> </w:t>
      </w:r>
    </w:p>
    <w:tbl>
      <w:tblPr>
        <w:tblW w:w="655" w:type="dxa"/>
        <w:jc w:val="left"/>
        <w:tblInd w:w="0" w:type="dxa"/>
        <w:tblLayout w:type="fixed"/>
        <w:tblCellMar>
          <w:top w:w="0" w:type="dxa"/>
          <w:left w:w="0" w:type="dxa"/>
          <w:bottom w:w="0" w:type="dxa"/>
          <w:right w:w="0" w:type="dxa"/>
        </w:tblCellMar>
      </w:tblPr>
      <w:tblGrid>
        <w:gridCol w:w="170"/>
        <w:gridCol w:w="48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789,500 shares of common stock issuable upon the exercise of outstanding stock options, 90,792 shares of common stock issuable upon the vesting of RSUs and 89,636 shares of common stock underlying vested RSUs that are issuable upon request. Mr. Nadav’s beneficial ownership includes the 218,603 shares of common stock held by Xiaopeng Li, a former director of the Company, over which he holds a proxy.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492,999 shares of common stock issuable upon the exercise of outstanding stock options, 51,458 shares of common stock issuable upon the vesting of RSUs, and 887,917 shares of common stock underlying vested RSUs that are issuable upon request.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186,000 shares of common stock issuable upon the exercise of outstanding stock options, 40,833 shares of common stock issuable upon the vesting of RSUs.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30,000 shares of common stock issuable upon the exercise of outstanding stock options and 1,225 shares of common stock issuable upon the vesting of RSUs.</w:t>
            </w:r>
          </w:p>
        </w:tc>
      </w:tr>
    </w:tbl>
    <w:p>
      <w:pPr>
        <w:pStyle w:val="TextBody"/>
        <w:bidi w:val="0"/>
        <w:jc w:val="both"/>
        <w:rPr/>
      </w:pPr>
      <w:r>
        <w:rPr/>
        <w:t> </w:t>
      </w:r>
    </w:p>
    <w:tbl>
      <w:tblPr>
        <w:tblW w:w="6430" w:type="dxa"/>
        <w:jc w:val="left"/>
        <w:tblInd w:w="0" w:type="dxa"/>
        <w:tblLayout w:type="fixed"/>
        <w:tblCellMar>
          <w:top w:w="0" w:type="dxa"/>
          <w:left w:w="0" w:type="dxa"/>
          <w:bottom w:w="0" w:type="dxa"/>
          <w:right w:w="0" w:type="dxa"/>
        </w:tblCellMar>
      </w:tblPr>
      <w:tblGrid>
        <w:gridCol w:w="290"/>
        <w:gridCol w:w="614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1,563 shares of common stock issuable upon the vesting of RSUs.</w:t>
            </w:r>
          </w:p>
        </w:tc>
      </w:tr>
    </w:tbl>
    <w:p>
      <w:pPr>
        <w:pStyle w:val="TextBody"/>
        <w:bidi w:val="0"/>
        <w:spacing w:before="0" w:after="0"/>
        <w:ind w:left="0" w:right="0" w:hanging="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90"/>
        <w:gridCol w:w="5990"/>
      </w:tblGrid>
      <w:tr>
        <w:trPr/>
        <w:tc>
          <w:tcPr>
            <w:tcW w:w="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875 shares of common stock issuable upon the vesting of RSUs.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1,498,499 shares of common stock issuable upon the exercise of options beneficially owned by the referenced persons, 211,995 shares of common stock issuable upon the vesting of RSUs and 977,553 shares of common stock underlying vested RSUs that are issuable upon request.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Schedule 13G/A, filed on February 9, 2026. BML Investment Partners, L.P. is a Delaware limited partnership whose sole general 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 The address of BML Investment Partners, L.P. is 65 E Cedar, Suite 2 Zionsville, IN 46077.</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72</w:t>
      </w:r>
    </w:p>
    <w:p>
      <w:pPr>
        <w:pStyle w:val="TextBody"/>
        <w:bidi w:val="0"/>
        <w:spacing w:before="0" w:after="0"/>
        <w:jc w:val="center"/>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except for compensation arrangements described elsewhere herein, we did not participate in any transaction, and we are not currently participating in any proposed transaction, or series of transactions, in which the amount involved exceeded the lesser of $120,000 or one percent of the average of our total assets at year end for the last two completed years, and in which, to our knowledge, any of our directors, officers, five percent beneficial security holders, or any member of the immediate family of the foregoing persons had, or will have, a direct or indirect material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enter into transactions with related persons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All related person transactions are approved by our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Dr. Daniel Aghion, Dr. Arie Mayer, Yehuda Reznick and Benjamin Shapiro are independent as defined under the rules promulgated by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fees billed by Kesselman &amp; Kesselman, Certified Public Accountants (Isr.), a member of PricewaterhouseCoopers International Limited, independent registered public accounting firm, for services rendered to us during the years ended December 31, 2025 and 2024:</w:t>
      </w:r>
    </w:p>
    <w:p>
      <w:pPr>
        <w:pStyle w:val="TextBody"/>
        <w:bidi w:val="0"/>
        <w:spacing w:before="0" w:after="0"/>
        <w:ind w:left="0" w:right="0" w:firstLine="72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880"/>
        <w:gridCol w:w="90"/>
        <w:gridCol w:w="170"/>
        <w:gridCol w:w="830"/>
        <w:gridCol w:w="90"/>
        <w:gridCol w:w="90"/>
        <w:gridCol w:w="170"/>
        <w:gridCol w:w="830"/>
        <w:gridCol w:w="135"/>
      </w:tblGrid>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204,575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124,882</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Audit-Related Fees</w:t>
            </w:r>
            <w:r>
              <w:rPr>
                <w:rFonts w:ascii="Times New Roman;Times;Serif" w:hAnsi="Times New Roman;Times;Serif"/>
                <w:position w:val="7"/>
                <w:sz w:val="16"/>
                <w:sz w:val="20"/>
              </w:rPr>
              <w:t xml:space="preserve">(2)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1,500</w:t>
            </w:r>
          </w:p>
        </w:tc>
        <w:tc>
          <w:tcPr>
            <w:tcW w:w="135" w:type="dxa"/>
            <w:tcBorders/>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26,946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17,986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880" w:type="dxa"/>
            <w:tcBorders/>
            <w:vAlign w:val="center"/>
          </w:tcPr>
          <w:p>
            <w:pPr>
              <w:pStyle w:val="TableContents"/>
              <w:bidi w:val="0"/>
              <w:spacing w:before="0" w:after="283"/>
              <w:jc w:val="left"/>
              <w:rPr/>
            </w:pPr>
            <w:r>
              <w:rPr/>
              <w:t>All Other Fees (4)</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180"/>
              <w:jc w:val="left"/>
              <w:rPr/>
            </w:pPr>
            <w:r>
              <w:rPr/>
              <w:t> </w:t>
            </w:r>
          </w:p>
        </w:tc>
      </w:tr>
      <w:tr>
        <w:trPr/>
        <w:tc>
          <w:tcPr>
            <w:tcW w:w="1880" w:type="dxa"/>
            <w:tcBorders/>
            <w:shd w:fill="CCEEFF" w:val="clear"/>
            <w:vAlign w:val="center"/>
          </w:tcPr>
          <w:p>
            <w:pPr>
              <w:pStyle w:val="TableContents"/>
              <w:bidi w:val="0"/>
              <w:spacing w:before="0" w:after="283"/>
              <w:jc w:val="left"/>
              <w:rPr>
                <w:b/>
              </w:rPr>
            </w:pPr>
            <w:r>
              <w:rPr>
                <w:b/>
              </w:rPr>
              <w:t>Total Fees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231,521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144,368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Amount represents fees paid for professional services for the audit of our consolidated financial statements, review of our interim condensed consolidated financial statements included in quarterly reports and services that are normally provided by our independent registered public accounting firm in connection with statutory and regulatory filings or engagements.</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290"/>
        <w:gridCol w:w="677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fees paid for services rendered in connection with the IIA requirements.</w:t>
            </w:r>
          </w:p>
        </w:tc>
      </w:tr>
    </w:tbl>
    <w:p>
      <w:pPr>
        <w:pStyle w:val="TextBody"/>
        <w:bidi w:val="0"/>
        <w:spacing w:before="0" w:after="0"/>
        <w:ind w:left="720" w:right="0" w:hanging="72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290"/>
        <w:gridCol w:w="396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fees paid for tax consulting services.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were no All Other Fees. All Other Fees would include fees that do not constitute Audit Fees, Audit Related Fees, or Tax Fees.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rules require that before the independent registered public accounting firm are engaged by us to render any auditing or permitted non-audit related service, the engagement be: (1) pre-approved by our Audit Committee; or (2) entered into pursuant to pre-approval policies and procedures established by the Audit Committee, provided the policies and procedures are detailed as to the particular service, the Audit Committee is informed of each service, and such policies and procedures do not include delegation of the Audit Committee’s responsibilities to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pre-approves all services provided by our independent registered public accounting firm. All of the above services and fees were reviewed and approved by the Audit Committee before the services were 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73</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left"/>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05"/>
        <w:gridCol w:w="275"/>
        <w:gridCol w:w="2600"/>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6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Index to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consolidated financial statements are filed as part of this Annual Report on Form 10-K:</w:t>
      </w:r>
    </w:p>
    <w:p>
      <w:pPr>
        <w:pStyle w:val="TextBody"/>
        <w:bidi w:val="0"/>
        <w:spacing w:before="0" w:after="0"/>
        <w:ind w:left="72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41"/>
        <w:gridCol w:w="90"/>
        <w:gridCol w:w="674"/>
      </w:tblGrid>
      <w:tr>
        <w:trPr/>
        <w:tc>
          <w:tcPr>
            <w:tcW w:w="9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4"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441" w:type="dxa"/>
            <w:tcBorders/>
            <w:shd w:fill="CCEEFF" w:val="clear"/>
            <w:vAlign w:val="center"/>
          </w:tcPr>
          <w:p>
            <w:pPr>
              <w:pStyle w:val="TableContents"/>
              <w:bidi w:val="0"/>
              <w:spacing w:before="0" w:after="283"/>
              <w:jc w:val="left"/>
              <w:rPr/>
            </w:pPr>
            <w:hyperlink w:anchor="fin_001">
              <w:r>
                <w:rPr>
                  <w:rStyle w:val="InternetLink"/>
                  <w:rFonts w:ascii="Times New Roman;Times;Serif" w:hAnsi="Times New Roman;Times;Serif"/>
                  <w:sz w:val="20"/>
                </w:rPr>
                <w:t>REPORT OF INDEPENDENT REGISTERED PUBLIC ACCOUNTING FIRM (PCAOB name: Kesselman &amp; Kesselman C.P.A.s, PCAOB ID: 1309 and Auditor Location: Tel Aviv, Israel)</w:t>
              </w:r>
            </w:hyperlink>
          </w:p>
        </w:tc>
        <w:tc>
          <w:tcPr>
            <w:tcW w:w="9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4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center"/>
              <w:rPr/>
            </w:pPr>
            <w:r>
              <w:rPr/>
              <w:t> </w:t>
            </w:r>
          </w:p>
        </w:tc>
      </w:tr>
      <w:tr>
        <w:trPr/>
        <w:tc>
          <w:tcPr>
            <w:tcW w:w="944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CONSOLIDATED FINANCIAL STATEMENTS:</w:t>
            </w:r>
          </w:p>
        </w:tc>
        <w:tc>
          <w:tcPr>
            <w:tcW w:w="9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center"/>
              <w:rPr/>
            </w:pPr>
            <w:r>
              <w:rPr/>
              <w:t> </w:t>
            </w:r>
          </w:p>
        </w:tc>
      </w:tr>
      <w:tr>
        <w:trPr/>
        <w:tc>
          <w:tcPr>
            <w:tcW w:w="9441" w:type="dxa"/>
            <w:tcBorders/>
            <w:vAlign w:val="center"/>
          </w:tcPr>
          <w:p>
            <w:pPr>
              <w:pStyle w:val="TableContents"/>
              <w:bidi w:val="0"/>
              <w:spacing w:before="0" w:after="283"/>
              <w:jc w:val="left"/>
              <w:rPr/>
            </w:pPr>
            <w:hyperlink w:anchor="fin_002">
              <w:r>
                <w:rPr>
                  <w:rStyle w:val="InternetLink"/>
                  <w:rFonts w:ascii="Times New Roman;Times;Serif" w:hAnsi="Times New Roman;Times;Serif"/>
                  <w:sz w:val="20"/>
                </w:rPr>
                <w:t>Consolidated Balance Sheets</w:t>
              </w:r>
            </w:hyperlink>
          </w:p>
        </w:tc>
        <w:tc>
          <w:tcPr>
            <w:tcW w:w="9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9441" w:type="dxa"/>
            <w:tcBorders/>
            <w:shd w:fill="CCEEFF" w:val="clear"/>
            <w:vAlign w:val="center"/>
          </w:tcPr>
          <w:p>
            <w:pPr>
              <w:pStyle w:val="TableContents"/>
              <w:bidi w:val="0"/>
              <w:spacing w:before="0" w:after="283"/>
              <w:jc w:val="left"/>
              <w:rPr/>
            </w:pPr>
            <w:hyperlink w:anchor="fin_003">
              <w:r>
                <w:rPr>
                  <w:rStyle w:val="InternetLink"/>
                  <w:rFonts w:ascii="Times New Roman;Times;Serif" w:hAnsi="Times New Roman;Times;Serif"/>
                  <w:sz w:val="20"/>
                </w:rPr>
                <w:t>Consolidated Statements of Comprehensive Income (Loss)</w:t>
              </w:r>
            </w:hyperlink>
          </w:p>
        </w:tc>
        <w:tc>
          <w:tcPr>
            <w:tcW w:w="9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9441" w:type="dxa"/>
            <w:tcBorders/>
            <w:vAlign w:val="center"/>
          </w:tcPr>
          <w:p>
            <w:pPr>
              <w:pStyle w:val="TableContents"/>
              <w:bidi w:val="0"/>
              <w:spacing w:before="0" w:after="283"/>
              <w:jc w:val="left"/>
              <w:rPr/>
            </w:pPr>
            <w:hyperlink w:anchor="fin_004">
              <w:r>
                <w:rPr>
                  <w:rStyle w:val="InternetLink"/>
                  <w:rFonts w:ascii="Times New Roman;Times;Serif" w:hAnsi="Times New Roman;Times;Serif"/>
                  <w:sz w:val="20"/>
                </w:rPr>
                <w:t>Consolidated Statements of Changes in Equity</w:t>
              </w:r>
            </w:hyperlink>
          </w:p>
        </w:tc>
        <w:tc>
          <w:tcPr>
            <w:tcW w:w="9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9441" w:type="dxa"/>
            <w:tcBorders/>
            <w:shd w:fill="CCEEFF" w:val="clear"/>
            <w:vAlign w:val="center"/>
          </w:tcPr>
          <w:p>
            <w:pPr>
              <w:pStyle w:val="TableContents"/>
              <w:bidi w:val="0"/>
              <w:spacing w:before="0" w:after="283"/>
              <w:jc w:val="left"/>
              <w:rPr/>
            </w:pPr>
            <w:hyperlink w:anchor="fin_005">
              <w:r>
                <w:rPr>
                  <w:rStyle w:val="InternetLink"/>
                  <w:rFonts w:ascii="Times New Roman;Times;Serif" w:hAnsi="Times New Roman;Times;Serif"/>
                  <w:sz w:val="20"/>
                </w:rPr>
                <w:t>Consolidated Statements of Cash Flows</w:t>
              </w:r>
            </w:hyperlink>
          </w:p>
        </w:tc>
        <w:tc>
          <w:tcPr>
            <w:tcW w:w="9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F-7</w:t>
            </w:r>
          </w:p>
        </w:tc>
      </w:tr>
      <w:tr>
        <w:trPr/>
        <w:tc>
          <w:tcPr>
            <w:tcW w:w="9441" w:type="dxa"/>
            <w:tcBorders/>
            <w:vAlign w:val="center"/>
          </w:tcPr>
          <w:p>
            <w:pPr>
              <w:pStyle w:val="TableContents"/>
              <w:bidi w:val="0"/>
              <w:spacing w:before="0" w:after="283"/>
              <w:jc w:val="left"/>
              <w:rPr/>
            </w:pPr>
            <w:hyperlink w:anchor="fin_006">
              <w:r>
                <w:rPr>
                  <w:rStyle w:val="InternetLink"/>
                  <w:rFonts w:ascii="Times New Roman;Times;Serif" w:hAnsi="Times New Roman;Times;Serif"/>
                  <w:sz w:val="20"/>
                </w:rPr>
                <w:t>Notes to Consolidated financial Statements</w:t>
              </w:r>
            </w:hyperlink>
          </w:p>
        </w:tc>
        <w:tc>
          <w:tcPr>
            <w:tcW w:w="90"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F-8 - F-51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0" w:name="fin_001"/>
      <w:bookmarkEnd w:id="30"/>
      <w:r>
        <w:rPr>
          <w:caps w:val="false"/>
          <w:smallCaps w:val="false"/>
        </w:rPr>
        <w:drawing>
          <wp:inline distT="0" distB="0" distL="0" distR="0">
            <wp:extent cx="8667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66775"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Independent Registered Public Accounting Firm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Oramed Pharmaceuticals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Oramed Pharmaceuticals Inc. and its subsidiaries (the “Company”) as of December 31, 2025 and 2024, and the related consolidated statements of comprehensive income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971540" cy="165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71540" cy="1651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Kesselman &amp; Kesselman, 146 Derech Menachem Begin St. Tel-Aviv 6492103, Israel,</w:t>
        <w:br/>
        <w:t>P.O Box 7187 Tel-Aviv 6107120, Telephone: +972 -3- 7954555, Fax:+972 -3- 7954556, www.pwc.com/il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at fair value of tranche A note and tranche B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4 to the consolidated financial statements, the Company has $37,595 thousand investments at fair value as of December 31, 2025 relating to a tranche A note and a tranche B note issued to the Company by Scilex Holding Company. Management applied significant judgment in estimating the fair value of the investments, which also impacted the statement of comprehensive income (loss) of the Company by $44,647 thousand for the change in fair value of such investments in the year ended December 31, 2025. The fair value estimation involved the use of significant estimates and assumptions with respect to the repayment dates and amounts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considerations for our determination that performing procedures relating to investments at fair value of tranche A note and tranche B note is a critical audit matter are (i) the high degree of auditor judgment and subjectivity in performing procedures relating to the fair value measurement of the investments recorded, due to significant judgment by management when developing the estimate; (ii) significant audit effort in evaluating the significant assumptions relating to the repayment dates and amounts of the notes; and (iii) the audit effort involved the use of professionals with specialized skill and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matter involved performing procedures and evaluating audit evidence in connection with forming our overall opinion on the consolidated financial statements. These procedures included, among others, (i) reading the related agreements and (ii) testing management’s process for estimating the fair value of the investments. Testing management’s process included evaluating the appropriateness of the valuation methods, testing the completeness and accuracy of the data provided by management, and evaluating the reasonableness of significant assumptions related to the repayment dates and amounts of the notes. Professionals with specialized skill and knowledge were used to assist in the evaluation of the Company’s models.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Kesselman &amp; Kesselman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 (Isr.)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firm of PricewaterhouseCoopers International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1" w:name="fin_002"/>
      <w:bookmarkEnd w:id="31"/>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CONSOLIDATED BALANCE SHEETS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0"/>
        <w:gridCol w:w="90"/>
        <w:gridCol w:w="170"/>
        <w:gridCol w:w="905"/>
        <w:gridCol w:w="125"/>
        <w:gridCol w:w="90"/>
        <w:gridCol w:w="170"/>
        <w:gridCol w:w="905"/>
        <w:gridCol w:w="170"/>
      </w:tblGrid>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45,947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54,420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Short-term deposits (note 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10,979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55,281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Marketable securities (note 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5,417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3,441</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Investments at fair value (note 4,7)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63,551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28,788</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Convertible note (note 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2,741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1,291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133,271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143,221</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b/>
              </w:rPr>
            </w:pPr>
            <w:r>
              <w:rPr>
                <w:b/>
              </w:rPr>
              <w:t>LONG-TERM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Long-term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Marketable securities (note 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Investments at fair value (note 4,7)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10,119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7,387</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Investment in associate at fair value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71,623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Loan to an equity method investee (note 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Investment in real estate (note 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Other non-marketable equity securities (note 10)</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3,624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3,524</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Amounts funded in respect of employee rights upon retirement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698</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Operating lease right of use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414</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long-term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97,593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12,057</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230,864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155,278</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center"/>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Accounts payable and accrued expenses (note 11)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6,201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5,140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Payable to related parties (note 20)</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329</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Deferred income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1,353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Dividend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10,595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Operating lease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19,086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5,685</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b/>
              </w:rPr>
            </w:pPr>
            <w:r>
              <w:rPr>
                <w:b/>
              </w:rPr>
              <w:t>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Long-term deferred revenues (note 13)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4,000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Long-term deferred income (note 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Employee rights upon retirement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156</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Dividend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Other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Deferred tax liabilities (note 18)</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7,911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Total long-term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12,034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4,246</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b/>
              </w:rPr>
              <w:t>COMMITMENTS</w:t>
            </w:r>
            <w:r>
              <w:rPr/>
              <w:t xml:space="preserve"> (note 13)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 </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b/>
              </w:rPr>
            </w:pPr>
            <w:r>
              <w:rPr>
                <w:b/>
              </w:rPr>
              <w:t>EQUITY ATTRIBUTABLE TO COMPANY’S STOCKHOLDERS: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80" w:type="dxa"/>
            <w:tcBorders/>
            <w:shd w:fill="CCEEFF" w:val="clear"/>
            <w:vAlign w:val="center"/>
          </w:tcPr>
          <w:p>
            <w:pPr>
              <w:pStyle w:val="TableContents"/>
              <w:bidi w:val="0"/>
              <w:spacing w:before="0" w:after="283"/>
              <w:jc w:val="left"/>
              <w:rPr/>
            </w:pPr>
            <w:r>
              <w:rPr/>
              <w:t>Common stock, $ 0.012 par value (60,000,000 authorized shares as of December 31, 2025 and December 31, 2024; 39,275,006 and 39,919,545 shares issued and outstanding as of December 31,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480</w:t>
            </w:r>
          </w:p>
        </w:tc>
        <w:tc>
          <w:tcPr>
            <w:tcW w:w="170" w:type="dxa"/>
            <w:tcBorders/>
            <w:shd w:fill="CCEEFF" w:val="clear"/>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322,708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322,401</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(123,436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(176,616</w:t>
            </w:r>
          </w:p>
        </w:tc>
        <w:tc>
          <w:tcPr>
            <w:tcW w:w="170" w:type="dxa"/>
            <w:tcBorders/>
            <w:shd w:fill="CCEEFF" w:val="clear"/>
            <w:vAlign w:val="center"/>
          </w:tcPr>
          <w:p>
            <w:pPr>
              <w:pStyle w:val="TableContents"/>
              <w:bidi w:val="0"/>
              <w:spacing w:before="0" w:after="283"/>
              <w:jc w:val="left"/>
              <w:rPr/>
            </w:pPr>
            <w:r>
              <w:rPr/>
              <w:t>)</w:t>
            </w:r>
          </w:p>
        </w:tc>
      </w:tr>
      <w:tr>
        <w:trPr/>
        <w:tc>
          <w:tcPr>
            <w:tcW w:w="758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199,744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146,265</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Non-controlling interests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(918</w:t>
            </w:r>
          </w:p>
        </w:tc>
        <w:tc>
          <w:tcPr>
            <w:tcW w:w="170" w:type="dxa"/>
            <w:tcBorders/>
            <w:shd w:fill="CCEEFF" w:val="clear"/>
            <w:vAlign w:val="center"/>
          </w:tcPr>
          <w:p>
            <w:pPr>
              <w:pStyle w:val="TableContents"/>
              <w:bidi w:val="0"/>
              <w:spacing w:before="0" w:after="283"/>
              <w:jc w:val="left"/>
              <w:rPr/>
            </w:pPr>
            <w:r>
              <w:rPr/>
              <w:t>)</w:t>
            </w:r>
          </w:p>
        </w:tc>
      </w:tr>
      <w:tr>
        <w:trPr/>
        <w:tc>
          <w:tcPr>
            <w:tcW w:w="7580" w:type="dxa"/>
            <w:tcBorders/>
            <w:vAlign w:val="center"/>
          </w:tcPr>
          <w:p>
            <w:pPr>
              <w:pStyle w:val="TableContents"/>
              <w:bidi w:val="0"/>
              <w:spacing w:before="0" w:after="283"/>
              <w:jc w:val="left"/>
              <w:rPr/>
            </w:pPr>
            <w:r>
              <w:rPr/>
              <w:t>Total equity</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199,744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145,347</w:t>
            </w:r>
          </w:p>
        </w:tc>
        <w:tc>
          <w:tcPr>
            <w:tcW w:w="17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Total liabilities and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230,864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155,278</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2" w:name="fin_003"/>
      <w:bookmarkEnd w:id="32"/>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CONSOLIDATED STATEMENTS OF COMPREHENSIVE INCOME (LOSS)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5"/>
        <w:gridCol w:w="90"/>
        <w:gridCol w:w="183"/>
        <w:gridCol w:w="1219"/>
        <w:gridCol w:w="125"/>
        <w:gridCol w:w="90"/>
        <w:gridCol w:w="183"/>
        <w:gridCol w:w="1219"/>
        <w:gridCol w:w="171"/>
      </w:tblGrid>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b/>
              </w:rPr>
            </w:pPr>
            <w:r>
              <w:rPr>
                <w:b/>
              </w:rPr>
              <w:t xml:space="preserve">Year 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b/>
              </w:rPr>
            </w:pPr>
            <w:r>
              <w:rPr>
                <w:b/>
              </w:rPr>
              <w:t>Year ended</w:t>
              <w:br/>
              <w:t>December 31,</w:t>
            </w:r>
          </w:p>
        </w:tc>
        <w:tc>
          <w:tcPr>
            <w:tcW w:w="171" w:type="dxa"/>
            <w:tcBorders/>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jc w:val="left"/>
              <w:rPr/>
            </w:pPr>
            <w:r>
              <w:rPr/>
              <w:t> </w:t>
            </w:r>
          </w:p>
        </w:tc>
      </w:tr>
      <w:tr>
        <w:trPr/>
        <w:tc>
          <w:tcPr>
            <w:tcW w:w="6925"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b/>
              </w:rPr>
            </w:pPr>
            <w:r>
              <w:rPr>
                <w:b/>
              </w:rPr>
              <w:t>COST OF REVENUE</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(1,987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0"/>
              <w:jc w:val="right"/>
              <w:rPr/>
            </w:pPr>
            <w:r>
              <w:rPr/>
              <w:t>-</w:t>
            </w:r>
          </w:p>
        </w:tc>
        <w:tc>
          <w:tcPr>
            <w:tcW w:w="171" w:type="dxa"/>
            <w:tcBorders/>
            <w:vAlign w:val="center"/>
          </w:tcPr>
          <w:p>
            <w:pPr>
              <w:pStyle w:val="TableContents"/>
              <w:bidi w:val="0"/>
              <w:spacing w:before="0" w:after="283"/>
              <w:jc w:val="left"/>
              <w:rPr/>
            </w:pPr>
            <w:r>
              <w:rPr/>
              <w:t> </w:t>
            </w:r>
          </w:p>
        </w:tc>
      </w:tr>
      <w:tr>
        <w:trPr/>
        <w:tc>
          <w:tcPr>
            <w:tcW w:w="6925" w:type="dxa"/>
            <w:tcBorders/>
            <w:shd w:fill="CCEEFF" w:val="clear"/>
            <w:vAlign w:val="center"/>
          </w:tcPr>
          <w:p>
            <w:pPr>
              <w:pStyle w:val="TableContents"/>
              <w:bidi w:val="0"/>
              <w:spacing w:before="0" w:after="283"/>
              <w:jc w:val="left"/>
              <w:rPr>
                <w:b/>
              </w:rPr>
            </w:pPr>
            <w:r>
              <w:rPr>
                <w:b/>
              </w:rPr>
              <w:t>GROSS PROFIT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925" w:type="dxa"/>
            <w:tcBorders/>
            <w:shd w:fill="CCEEFF" w:val="clear"/>
            <w:vAlign w:val="center"/>
          </w:tcPr>
          <w:p>
            <w:pPr>
              <w:pStyle w:val="TableContents"/>
              <w:bidi w:val="0"/>
              <w:spacing w:before="0" w:after="283"/>
              <w:jc w:val="left"/>
              <w:rPr>
                <w:b/>
              </w:rPr>
            </w:pPr>
            <w:r>
              <w:rPr>
                <w:b/>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(6,381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(6,324</w:t>
            </w:r>
          </w:p>
        </w:tc>
        <w:tc>
          <w:tcPr>
            <w:tcW w:w="171" w:type="dxa"/>
            <w:tcBorders/>
            <w:shd w:fill="CCEEFF" w:val="clear"/>
            <w:vAlign w:val="center"/>
          </w:tcPr>
          <w:p>
            <w:pPr>
              <w:pStyle w:val="TableContents"/>
              <w:bidi w:val="0"/>
              <w:spacing w:before="0" w:after="283"/>
              <w:jc w:val="left"/>
              <w:rPr/>
            </w:pPr>
            <w:r>
              <w:rPr/>
              <w:t>)</w:t>
            </w:r>
          </w:p>
        </w:tc>
      </w:tr>
      <w:tr>
        <w:trPr/>
        <w:tc>
          <w:tcPr>
            <w:tcW w:w="6925" w:type="dxa"/>
            <w:tcBorders/>
            <w:vAlign w:val="center"/>
          </w:tcPr>
          <w:p>
            <w:pPr>
              <w:pStyle w:val="TableContents"/>
              <w:bidi w:val="0"/>
              <w:spacing w:before="0" w:after="283"/>
              <w:jc w:val="left"/>
              <w:rPr>
                <w:b/>
              </w:rPr>
            </w:pPr>
            <w:r>
              <w:rPr>
                <w:b/>
              </w:rPr>
              <w:t>GENERAL AND ADMINISTRATIVE EXPENSES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(8,720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(6,457</w:t>
            </w:r>
          </w:p>
        </w:tc>
        <w:tc>
          <w:tcPr>
            <w:tcW w:w="171" w:type="dxa"/>
            <w:tcBorders/>
            <w:vAlign w:val="center"/>
          </w:tcPr>
          <w:p>
            <w:pPr>
              <w:pStyle w:val="TableContents"/>
              <w:bidi w:val="0"/>
              <w:spacing w:before="0" w:after="283"/>
              <w:jc w:val="left"/>
              <w:rPr/>
            </w:pPr>
            <w:r>
              <w:rPr/>
              <w:t>)</w:t>
            </w:r>
          </w:p>
        </w:tc>
      </w:tr>
      <w:tr>
        <w:trPr/>
        <w:tc>
          <w:tcPr>
            <w:tcW w:w="6925" w:type="dxa"/>
            <w:tcBorders/>
            <w:shd w:fill="CCEEFF" w:val="clear"/>
            <w:vAlign w:val="center"/>
          </w:tcPr>
          <w:p>
            <w:pPr>
              <w:pStyle w:val="TableContents"/>
              <w:bidi w:val="0"/>
              <w:spacing w:before="0" w:after="283"/>
              <w:jc w:val="left"/>
              <w:rPr>
                <w:b/>
              </w:rPr>
            </w:pPr>
            <w:r>
              <w:rPr>
                <w:b/>
              </w:rPr>
              <w:t>OPERATING LOSS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(15,088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(12,781</w:t>
            </w:r>
          </w:p>
        </w:tc>
        <w:tc>
          <w:tcPr>
            <w:tcW w:w="171" w:type="dxa"/>
            <w:tcBorders/>
            <w:shd w:fill="CCEEFF" w:val="clear"/>
            <w:vAlign w:val="center"/>
          </w:tcPr>
          <w:p>
            <w:pPr>
              <w:pStyle w:val="TableContents"/>
              <w:bidi w:val="0"/>
              <w:spacing w:before="0" w:after="283"/>
              <w:jc w:val="left"/>
              <w:rPr/>
            </w:pPr>
            <w:r>
              <w:rPr/>
              <w:t>)</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925" w:type="dxa"/>
            <w:tcBorders/>
            <w:shd w:fill="CCEEFF" w:val="clear"/>
            <w:vAlign w:val="center"/>
          </w:tcPr>
          <w:p>
            <w:pPr>
              <w:pStyle w:val="TableContents"/>
              <w:bidi w:val="0"/>
              <w:spacing w:before="0" w:after="283"/>
              <w:jc w:val="left"/>
              <w:rPr>
                <w:b/>
              </w:rPr>
            </w:pPr>
            <w:r>
              <w:rPr>
                <w:b/>
              </w:rPr>
              <w:t>OTHER INCOME, NET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958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0"/>
              <w:jc w:val="right"/>
              <w:rPr/>
            </w:pPr>
            <w:r>
              <w:rPr/>
              <w:t>-</w:t>
            </w:r>
          </w:p>
        </w:tc>
        <w:tc>
          <w:tcPr>
            <w:tcW w:w="171" w:type="dxa"/>
            <w:tcBorders/>
            <w:shd w:fill="CCEEFF" w:val="clear"/>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b/>
              </w:rPr>
            </w:pPr>
            <w:r>
              <w:rPr>
                <w:b/>
              </w:rPr>
              <w:t>INTEREST EXPENSES (note 12)</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(853</w:t>
            </w:r>
          </w:p>
        </w:tc>
        <w:tc>
          <w:tcPr>
            <w:tcW w:w="171" w:type="dxa"/>
            <w:tcBorders/>
            <w:vAlign w:val="center"/>
          </w:tcPr>
          <w:p>
            <w:pPr>
              <w:pStyle w:val="TableContents"/>
              <w:bidi w:val="0"/>
              <w:spacing w:before="0" w:after="283"/>
              <w:jc w:val="left"/>
              <w:rPr/>
            </w:pPr>
            <w:r>
              <w:rPr/>
              <w:t>)</w:t>
            </w:r>
          </w:p>
        </w:tc>
      </w:tr>
      <w:tr>
        <w:trPr/>
        <w:tc>
          <w:tcPr>
            <w:tcW w:w="6925" w:type="dxa"/>
            <w:tcBorders/>
            <w:shd w:fill="CCEEFF" w:val="clear"/>
            <w:vAlign w:val="center"/>
          </w:tcPr>
          <w:p>
            <w:pPr>
              <w:pStyle w:val="TableContents"/>
              <w:bidi w:val="0"/>
              <w:spacing w:before="0" w:after="283"/>
              <w:jc w:val="left"/>
              <w:rPr>
                <w:b/>
              </w:rPr>
            </w:pPr>
            <w:r>
              <w:rPr>
                <w:b/>
              </w:rPr>
              <w:t>FINANCIAL INCOME (LOSS), NET (note 17)</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89,454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(2,286</w:t>
            </w:r>
          </w:p>
        </w:tc>
        <w:tc>
          <w:tcPr>
            <w:tcW w:w="171" w:type="dxa"/>
            <w:tcBorders/>
            <w:shd w:fill="CCEEFF" w:val="clear"/>
            <w:vAlign w:val="center"/>
          </w:tcPr>
          <w:p>
            <w:pPr>
              <w:pStyle w:val="TableContents"/>
              <w:bidi w:val="0"/>
              <w:spacing w:before="0" w:after="283"/>
              <w:jc w:val="left"/>
              <w:rPr/>
            </w:pPr>
            <w:r>
              <w:rPr/>
              <w:t>)</w:t>
            </w:r>
          </w:p>
        </w:tc>
      </w:tr>
      <w:tr>
        <w:trPr/>
        <w:tc>
          <w:tcPr>
            <w:tcW w:w="6925" w:type="dxa"/>
            <w:tcBorders/>
            <w:vAlign w:val="center"/>
          </w:tcPr>
          <w:p>
            <w:pPr>
              <w:pStyle w:val="TableContents"/>
              <w:bidi w:val="0"/>
              <w:spacing w:before="0" w:after="283"/>
              <w:jc w:val="left"/>
              <w:rPr>
                <w:b/>
              </w:rPr>
            </w:pPr>
            <w:r>
              <w:rPr>
                <w:b/>
              </w:rPr>
              <w:t>INCOME (LOSS) BEFORE TAX EXPENSES</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75,324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(15,920</w:t>
            </w:r>
          </w:p>
        </w:tc>
        <w:tc>
          <w:tcPr>
            <w:tcW w:w="171" w:type="dxa"/>
            <w:tcBorders/>
            <w:vAlign w:val="center"/>
          </w:tcPr>
          <w:p>
            <w:pPr>
              <w:pStyle w:val="TableContents"/>
              <w:bidi w:val="0"/>
              <w:spacing w:before="0" w:after="283"/>
              <w:jc w:val="left"/>
              <w:rPr/>
            </w:pPr>
            <w:r>
              <w:rPr/>
              <w:t>)</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b/>
              </w:rPr>
            </w:pPr>
            <w:r>
              <w:rPr>
                <w:b/>
              </w:rPr>
              <w:t>TAX EXPENSES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(11,308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(3,183</w:t>
            </w:r>
          </w:p>
        </w:tc>
        <w:tc>
          <w:tcPr>
            <w:tcW w:w="171" w:type="dxa"/>
            <w:tcBorders/>
            <w:vAlign w:val="center"/>
          </w:tcPr>
          <w:p>
            <w:pPr>
              <w:pStyle w:val="TableContents"/>
              <w:bidi w:val="0"/>
              <w:spacing w:before="0" w:after="283"/>
              <w:jc w:val="left"/>
              <w:rPr/>
            </w:pPr>
            <w:r>
              <w:rPr/>
              <w:t>)</w:t>
            </w:r>
          </w:p>
        </w:tc>
      </w:tr>
      <w:tr>
        <w:trPr/>
        <w:tc>
          <w:tcPr>
            <w:tcW w:w="6925" w:type="dxa"/>
            <w:tcBorders/>
            <w:shd w:fill="CCEEFF" w:val="clear"/>
            <w:vAlign w:val="center"/>
          </w:tcPr>
          <w:p>
            <w:pPr>
              <w:pStyle w:val="TableContents"/>
              <w:bidi w:val="0"/>
              <w:spacing w:before="0" w:after="283"/>
              <w:jc w:val="left"/>
              <w:rPr>
                <w:b/>
              </w:rPr>
            </w:pPr>
            <w:r>
              <w:rPr>
                <w:b/>
              </w:rPr>
              <w:t>NET INCOME (LOSS)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64,016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(19,103</w:t>
            </w:r>
          </w:p>
        </w:tc>
        <w:tc>
          <w:tcPr>
            <w:tcW w:w="171" w:type="dxa"/>
            <w:tcBorders/>
            <w:shd w:fill="CCEEFF" w:val="clear"/>
            <w:vAlign w:val="center"/>
          </w:tcPr>
          <w:p>
            <w:pPr>
              <w:pStyle w:val="TableContents"/>
              <w:bidi w:val="0"/>
              <w:spacing w:before="0" w:after="283"/>
              <w:jc w:val="left"/>
              <w:rPr/>
            </w:pPr>
            <w:r>
              <w:rPr/>
              <w:t>)</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925" w:type="dxa"/>
            <w:tcBorders/>
            <w:shd w:fill="CCEEFF" w:val="clear"/>
            <w:vAlign w:val="center"/>
          </w:tcPr>
          <w:p>
            <w:pPr>
              <w:pStyle w:val="TableContents"/>
              <w:bidi w:val="0"/>
              <w:spacing w:before="0" w:after="283"/>
              <w:jc w:val="left"/>
              <w:rPr>
                <w:b/>
              </w:rPr>
            </w:pPr>
            <w:r>
              <w:rPr>
                <w:b/>
              </w:rPr>
              <w:t>NET INCOME (LOSS) ATTRIBUTABLE TO:</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6925" w:type="dxa"/>
            <w:tcBorders/>
            <w:vAlign w:val="center"/>
          </w:tcPr>
          <w:p>
            <w:pPr>
              <w:pStyle w:val="TableContents"/>
              <w:bidi w:val="0"/>
              <w:spacing w:before="0" w:after="283"/>
              <w:jc w:val="left"/>
              <w:rPr>
                <w:b/>
              </w:rPr>
            </w:pPr>
            <w:r>
              <w:rPr>
                <w:b/>
              </w:rPr>
              <w:t>NON-CONTROLLING INTERESTS</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tcMar>
              <w:bottom w:w="28" w:type="dxa"/>
            </w:tcMar>
            <w:vAlign w:val="center"/>
          </w:tcPr>
          <w:p>
            <w:pPr>
              <w:pStyle w:val="TableContents"/>
              <w:bidi w:val="0"/>
              <w:spacing w:before="0" w:after="283"/>
              <w:jc w:val="right"/>
              <w:rPr/>
            </w:pPr>
            <w:r>
              <w:rPr/>
              <w:t>(43</w:t>
            </w:r>
          </w:p>
        </w:tc>
        <w:tc>
          <w:tcPr>
            <w:tcW w:w="171" w:type="dxa"/>
            <w:tcBorders/>
            <w:vAlign w:val="center"/>
          </w:tcPr>
          <w:p>
            <w:pPr>
              <w:pStyle w:val="TableContents"/>
              <w:bidi w:val="0"/>
              <w:spacing w:before="0" w:after="283"/>
              <w:jc w:val="left"/>
              <w:rPr/>
            </w:pPr>
            <w:r>
              <w:rPr/>
              <w:t>)</w:t>
            </w:r>
          </w:p>
        </w:tc>
      </w:tr>
      <w:tr>
        <w:trPr/>
        <w:tc>
          <w:tcPr>
            <w:tcW w:w="6925" w:type="dxa"/>
            <w:tcBorders/>
            <w:shd w:fill="CCEEFF" w:val="clear"/>
            <w:vAlign w:val="center"/>
          </w:tcPr>
          <w:p>
            <w:pPr>
              <w:pStyle w:val="TableContents"/>
              <w:bidi w:val="0"/>
              <w:spacing w:before="0" w:after="283"/>
              <w:jc w:val="left"/>
              <w:rPr>
                <w:b/>
              </w:rPr>
            </w:pPr>
            <w:r>
              <w:rPr>
                <w:b/>
              </w:rPr>
              <w:t>COMPANY’S STOCKHOLDERS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64,050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(19,060</w:t>
            </w:r>
          </w:p>
        </w:tc>
        <w:tc>
          <w:tcPr>
            <w:tcW w:w="171" w:type="dxa"/>
            <w:tcBorders/>
            <w:shd w:fill="CCEEFF" w:val="clear"/>
            <w:vAlign w:val="center"/>
          </w:tcPr>
          <w:p>
            <w:pPr>
              <w:pStyle w:val="TableContents"/>
              <w:bidi w:val="0"/>
              <w:spacing w:before="0" w:after="283"/>
              <w:jc w:val="left"/>
              <w:rPr/>
            </w:pPr>
            <w:r>
              <w:rPr/>
              <w:t>)</w:t>
            </w:r>
          </w:p>
        </w:tc>
      </w:tr>
      <w:tr>
        <w:trPr/>
        <w:tc>
          <w:tcPr>
            <w:tcW w:w="6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6925" w:type="dxa"/>
            <w:tcBorders/>
            <w:shd w:fill="CCEEFF" w:val="clear"/>
            <w:vAlign w:val="center"/>
          </w:tcPr>
          <w:p>
            <w:pPr>
              <w:pStyle w:val="TableContents"/>
              <w:bidi w:val="0"/>
              <w:spacing w:before="0" w:after="283"/>
              <w:jc w:val="left"/>
              <w:rPr>
                <w:b/>
              </w:rPr>
            </w:pPr>
            <w:r>
              <w:rPr>
                <w:b/>
              </w:rPr>
              <w:t>BASIC INCOME (LOSS) PER SHARE OF COMMON STOCK</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1.53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(0.48</w:t>
            </w:r>
          </w:p>
        </w:tc>
        <w:tc>
          <w:tcPr>
            <w:tcW w:w="171" w:type="dxa"/>
            <w:tcBorders/>
            <w:shd w:fill="CCEEFF" w:val="clear"/>
            <w:vAlign w:val="center"/>
          </w:tcPr>
          <w:p>
            <w:pPr>
              <w:pStyle w:val="TableContents"/>
              <w:bidi w:val="0"/>
              <w:spacing w:before="0" w:after="283"/>
              <w:jc w:val="left"/>
              <w:rPr/>
            </w:pPr>
            <w:r>
              <w:rPr/>
              <w:t>)</w:t>
            </w:r>
          </w:p>
        </w:tc>
      </w:tr>
      <w:tr>
        <w:trPr/>
        <w:tc>
          <w:tcPr>
            <w:tcW w:w="6925" w:type="dxa"/>
            <w:tcBorders/>
            <w:vAlign w:val="center"/>
          </w:tcPr>
          <w:p>
            <w:pPr>
              <w:pStyle w:val="TableContents"/>
              <w:bidi w:val="0"/>
              <w:spacing w:before="0" w:after="283"/>
              <w:jc w:val="left"/>
              <w:rPr>
                <w:b/>
              </w:rPr>
            </w:pPr>
            <w:r>
              <w:rPr>
                <w:b/>
              </w:rPr>
              <w:t>DILUTED INCOME (LOSS) PER SHARE OF COMMON STOCK</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tcMar>
              <w:bottom w:w="28" w:type="dxa"/>
            </w:tcMar>
            <w:vAlign w:val="center"/>
          </w:tcPr>
          <w:p>
            <w:pPr>
              <w:pStyle w:val="TableContents"/>
              <w:bidi w:val="0"/>
              <w:spacing w:before="0" w:after="283"/>
              <w:jc w:val="right"/>
              <w:rPr/>
            </w:pPr>
            <w:r>
              <w:rPr/>
              <w:t>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1219" w:type="dxa"/>
            <w:tcBorders>
              <w:bottom w:val="double" w:sz="10" w:space="0" w:color="000000"/>
            </w:tcBorders>
            <w:tcMar>
              <w:bottom w:w="28" w:type="dxa"/>
            </w:tcMar>
            <w:vAlign w:val="center"/>
          </w:tcPr>
          <w:p>
            <w:pPr>
              <w:pStyle w:val="TableContents"/>
              <w:bidi w:val="0"/>
              <w:spacing w:before="0" w:after="283"/>
              <w:jc w:val="right"/>
              <w:rPr/>
            </w:pPr>
            <w:r>
              <w:rPr/>
              <w:t>(0.48</w:t>
            </w:r>
          </w:p>
        </w:tc>
        <w:tc>
          <w:tcPr>
            <w:tcW w:w="171" w:type="dxa"/>
            <w:tcBorders/>
            <w:vAlign w:val="center"/>
          </w:tcPr>
          <w:p>
            <w:pPr>
              <w:pStyle w:val="TableContents"/>
              <w:bidi w:val="0"/>
              <w:spacing w:before="0" w:after="283"/>
              <w:jc w:val="left"/>
              <w:rPr/>
            </w:pPr>
            <w:r>
              <w:rPr/>
              <w:t>)</w:t>
            </w:r>
          </w:p>
        </w:tc>
      </w:tr>
      <w:tr>
        <w:trPr/>
        <w:tc>
          <w:tcPr>
            <w:tcW w:w="69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ind w:left="0" w:right="0" w:hanging="180"/>
              <w:jc w:val="left"/>
              <w:rPr/>
            </w:pPr>
            <w:r>
              <w:rPr/>
              <w:t> </w:t>
            </w:r>
          </w:p>
        </w:tc>
      </w:tr>
      <w:tr>
        <w:trPr/>
        <w:tc>
          <w:tcPr>
            <w:tcW w:w="6925" w:type="dxa"/>
            <w:tcBorders/>
            <w:vAlign w:val="center"/>
          </w:tcPr>
          <w:p>
            <w:pPr>
              <w:pStyle w:val="TableContents"/>
              <w:bidi w:val="0"/>
              <w:spacing w:before="0" w:after="283"/>
              <w:jc w:val="left"/>
              <w:rPr>
                <w:b/>
              </w:rPr>
            </w:pPr>
            <w:r>
              <w:rPr>
                <w:b/>
              </w:rPr>
              <w:t>WEIGHTED AVERAGE NUMBER OF SHARES OF COMMON STOCK USED IN COMPUTING BASIC INCOME (LOSS) PER SHARE OF COMMON STOCK</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19" w:type="dxa"/>
            <w:tcBorders>
              <w:bottom w:val="double" w:sz="10" w:space="0" w:color="000000"/>
            </w:tcBorders>
            <w:tcMar>
              <w:bottom w:w="28" w:type="dxa"/>
            </w:tcMar>
            <w:vAlign w:val="center"/>
          </w:tcPr>
          <w:p>
            <w:pPr>
              <w:pStyle w:val="TableContents"/>
              <w:bidi w:val="0"/>
              <w:spacing w:before="0" w:after="283"/>
              <w:jc w:val="right"/>
              <w:rPr/>
            </w:pPr>
            <w:r>
              <w:rPr/>
              <w:t>41,402,997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19" w:type="dxa"/>
            <w:tcBorders>
              <w:bottom w:val="double" w:sz="10" w:space="0" w:color="000000"/>
            </w:tcBorders>
            <w:tcMar>
              <w:bottom w:w="28" w:type="dxa"/>
            </w:tcMar>
            <w:vAlign w:val="center"/>
          </w:tcPr>
          <w:p>
            <w:pPr>
              <w:pStyle w:val="TableContents"/>
              <w:bidi w:val="0"/>
              <w:spacing w:before="0" w:after="283"/>
              <w:jc w:val="right"/>
              <w:rPr/>
            </w:pPr>
            <w:r>
              <w:rPr/>
              <w:t>40,850,446</w:t>
            </w:r>
          </w:p>
        </w:tc>
        <w:tc>
          <w:tcPr>
            <w:tcW w:w="171" w:type="dxa"/>
            <w:tcBorders/>
            <w:vAlign w:val="center"/>
          </w:tcPr>
          <w:p>
            <w:pPr>
              <w:pStyle w:val="TableContents"/>
              <w:bidi w:val="0"/>
              <w:spacing w:before="0" w:after="283"/>
              <w:ind w:left="0" w:right="0" w:hanging="180"/>
              <w:jc w:val="left"/>
              <w:rPr/>
            </w:pPr>
            <w:r>
              <w:rPr/>
              <w:t> </w:t>
            </w:r>
          </w:p>
        </w:tc>
      </w:tr>
      <w:tr>
        <w:trPr/>
        <w:tc>
          <w:tcPr>
            <w:tcW w:w="6925" w:type="dxa"/>
            <w:tcBorders/>
            <w:shd w:fill="CCEEFF" w:val="clear"/>
            <w:vAlign w:val="center"/>
          </w:tcPr>
          <w:p>
            <w:pPr>
              <w:pStyle w:val="TableContents"/>
              <w:bidi w:val="0"/>
              <w:spacing w:before="0" w:after="283"/>
              <w:jc w:val="left"/>
              <w:rPr>
                <w:b/>
              </w:rPr>
            </w:pPr>
            <w:r>
              <w:rPr>
                <w:b/>
              </w:rPr>
              <w:t>WEIGHTED AVERAGE NUMBER OF SHARES OF COMMON STOCK USED IN COMPUTING DILUTED INCOME (LOSS) PER SHARE OF COMMON STOCK</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42,418,644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double" w:sz="10" w:space="0" w:color="000000"/>
            </w:tcBorders>
            <w:shd w:fill="CCEEFF" w:val="clear"/>
            <w:tcMar>
              <w:bottom w:w="28" w:type="dxa"/>
            </w:tcMar>
            <w:vAlign w:val="center"/>
          </w:tcPr>
          <w:p>
            <w:pPr>
              <w:pStyle w:val="TableContents"/>
              <w:bidi w:val="0"/>
              <w:spacing w:before="0" w:after="283"/>
              <w:jc w:val="right"/>
              <w:rPr/>
            </w:pPr>
            <w:r>
              <w:rPr/>
              <w:t>40,850,446</w:t>
            </w:r>
          </w:p>
        </w:tc>
        <w:tc>
          <w:tcPr>
            <w:tcW w:w="17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3" w:name="fin_004"/>
      <w:bookmarkEnd w:id="33"/>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CONSOLIDATED STATEMENTS OF CHANGES IN EQUITY</w:t>
        <w:b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 Company’s Stockholders</w:t>
      </w:r>
    </w:p>
    <w:p>
      <w:pPr>
        <w:pStyle w:val="TextBody"/>
        <w:bidi w:val="0"/>
        <w:spacing w:before="0" w:after="0"/>
        <w:ind w:left="0" w:right="0" w:hanging="0"/>
        <w:jc w:val="center"/>
        <w:rPr>
          <w:caps w:val="false"/>
          <w:smallCaps w:val="false"/>
        </w:rPr>
      </w:pPr>
      <w:r>
        <w:rPr>
          <w:caps w:val="false"/>
          <w:smallCaps w:val="false"/>
        </w:rPr>
        <w:t> </w:t>
      </w:r>
    </w:p>
    <w:tbl>
      <w:tblPr>
        <w:tblW w:w="11380" w:type="dxa"/>
        <w:jc w:val="left"/>
        <w:tblInd w:w="0" w:type="dxa"/>
        <w:tblLayout w:type="fixed"/>
        <w:tblCellMar>
          <w:top w:w="0" w:type="dxa"/>
          <w:left w:w="0" w:type="dxa"/>
          <w:bottom w:w="0" w:type="dxa"/>
          <w:right w:w="0" w:type="dxa"/>
        </w:tblCellMar>
      </w:tblPr>
      <w:tblGrid>
        <w:gridCol w:w="2075"/>
        <w:gridCol w:w="90"/>
        <w:gridCol w:w="154"/>
        <w:gridCol w:w="1216"/>
        <w:gridCol w:w="125"/>
        <w:gridCol w:w="90"/>
        <w:gridCol w:w="90"/>
        <w:gridCol w:w="410"/>
        <w:gridCol w:w="125"/>
        <w:gridCol w:w="90"/>
        <w:gridCol w:w="110"/>
        <w:gridCol w:w="1020"/>
        <w:gridCol w:w="125"/>
        <w:gridCol w:w="90"/>
        <w:gridCol w:w="126"/>
        <w:gridCol w:w="1274"/>
        <w:gridCol w:w="125"/>
        <w:gridCol w:w="90"/>
        <w:gridCol w:w="129"/>
        <w:gridCol w:w="1196"/>
        <w:gridCol w:w="125"/>
        <w:gridCol w:w="90"/>
        <w:gridCol w:w="179"/>
        <w:gridCol w:w="966"/>
        <w:gridCol w:w="125"/>
        <w:gridCol w:w="90"/>
        <w:gridCol w:w="90"/>
        <w:gridCol w:w="830"/>
        <w:gridCol w:w="135"/>
      </w:tblGrid>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Non-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stockholders’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controlling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In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b/>
              </w:rPr>
            </w:pPr>
            <w:r>
              <w:rPr>
                <w:b/>
              </w:rPr>
              <w:t>BALANCE AS OF JANUARY 1, 2025</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39,920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322,401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(176,616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146,265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(918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145,347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vAlign w:val="center"/>
          </w:tcPr>
          <w:p>
            <w:pPr>
              <w:pStyle w:val="TableContents"/>
              <w:bidi w:val="0"/>
              <w:spacing w:before="0" w:after="283"/>
              <w:jc w:val="left"/>
              <w:rPr>
                <w:b/>
              </w:rPr>
            </w:pPr>
            <w:r>
              <w:rPr>
                <w:b/>
              </w:rPr>
              <w:t>STOCK-BASED COMPENSATION</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1,410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5,975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5,992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5,992</w:t>
            </w:r>
          </w:p>
        </w:tc>
        <w:tc>
          <w:tcPr>
            <w:tcW w:w="135" w:type="dxa"/>
            <w:tcBorders/>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b/>
              </w:rPr>
            </w:pPr>
            <w:r>
              <w:rPr>
                <w:b/>
              </w:rPr>
              <w:t>REPURCHASE AND RETIREMENT OF COMMON STOCK</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(2,055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(4,716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(4,741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(4,741</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2075" w:type="dxa"/>
            <w:tcBorders/>
            <w:vAlign w:val="center"/>
          </w:tcPr>
          <w:p>
            <w:pPr>
              <w:pStyle w:val="TableContents"/>
              <w:bidi w:val="0"/>
              <w:spacing w:before="0" w:after="283"/>
              <w:jc w:val="left"/>
              <w:rPr>
                <w:b/>
              </w:rPr>
            </w:pPr>
            <w:r>
              <w:rPr>
                <w:b/>
              </w:rPr>
              <w:t>DIVIDEND ON COMMON STOCK ($0.25 PER SHARE)</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(10,870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(10,870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(10,870</w:t>
            </w:r>
          </w:p>
        </w:tc>
        <w:tc>
          <w:tcPr>
            <w:tcW w:w="135" w:type="dxa"/>
            <w:tcBorders/>
            <w:vAlign w:val="center"/>
          </w:tcPr>
          <w:p>
            <w:pPr>
              <w:pStyle w:val="TableContents"/>
              <w:bidi w:val="0"/>
              <w:spacing w:before="0" w:after="283"/>
              <w:ind w:left="0" w:right="0" w:hanging="180"/>
              <w:jc w:val="left"/>
              <w:rPr/>
            </w:pPr>
            <w:r>
              <w:rPr/>
              <w:t>)</w:t>
            </w:r>
          </w:p>
        </w:tc>
      </w:tr>
      <w:tr>
        <w:trPr/>
        <w:tc>
          <w:tcPr>
            <w:tcW w:w="2075" w:type="dxa"/>
            <w:tcBorders/>
            <w:shd w:fill="CCEEFF" w:val="clear"/>
            <w:vAlign w:val="center"/>
          </w:tcPr>
          <w:p>
            <w:pPr>
              <w:pStyle w:val="TableContents"/>
              <w:bidi w:val="0"/>
              <w:spacing w:before="0" w:after="283"/>
              <w:jc w:val="left"/>
              <w:rPr>
                <w:b/>
              </w:rPr>
            </w:pPr>
            <w:r>
              <w:rPr>
                <w:b/>
              </w:rPr>
              <w:t>WAIVER OF LOAN GRANTED TO SUBSIDIARY</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(952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(952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952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b/>
              </w:rPr>
            </w:pPr>
            <w:r>
              <w:rPr>
                <w:b/>
              </w:rPr>
              <w:t>NET INCOME</w:t>
            </w:r>
          </w:p>
        </w:tc>
        <w:tc>
          <w:tcPr>
            <w:tcW w:w="90" w:type="dxa"/>
            <w:tcBorders/>
            <w:vAlign w:val="center"/>
          </w:tcPr>
          <w:p>
            <w:pPr>
              <w:pStyle w:val="TableContents"/>
              <w:bidi w:val="0"/>
              <w:spacing w:before="0" w:after="283"/>
              <w:jc w:val="left"/>
              <w:rPr/>
            </w:pPr>
            <w:r>
              <w:rPr/>
              <w:t> </w:t>
            </w:r>
          </w:p>
        </w:tc>
        <w:tc>
          <w:tcPr>
            <w:tcW w:w="154" w:type="dxa"/>
            <w:tcBorders>
              <w:bottom w:val="single" w:sz="12" w:space="0" w:color="000000"/>
            </w:tcBorders>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single" w:sz="12" w:space="0" w:color="000000"/>
            </w:tcBorders>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tcMar>
              <w:bottom w:w="28" w:type="dxa"/>
            </w:tcMar>
            <w:vAlign w:val="center"/>
          </w:tcPr>
          <w:p>
            <w:pPr>
              <w:pStyle w:val="TableContents"/>
              <w:bidi w:val="0"/>
              <w:spacing w:before="0" w:after="283"/>
              <w:jc w:val="right"/>
              <w:rPr/>
            </w:pPr>
            <w:r>
              <w:rPr/>
              <w:t>(34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64,016</w:t>
            </w:r>
          </w:p>
        </w:tc>
        <w:tc>
          <w:tcPr>
            <w:tcW w:w="135" w:type="dxa"/>
            <w:tcBorders/>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b/>
              </w:rPr>
            </w:pPr>
            <w:r>
              <w:rPr>
                <w:b/>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pPr>
            <w:r>
              <w:rPr/>
              <w:t>39,275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shd w:fill="CCEEFF" w:val="clear"/>
            <w:tcMar>
              <w:bottom w:w="28" w:type="dxa"/>
            </w:tcMar>
            <w:vAlign w:val="center"/>
          </w:tcPr>
          <w:p>
            <w:pPr>
              <w:pStyle w:val="TableContents"/>
              <w:bidi w:val="0"/>
              <w:spacing w:before="0" w:after="283"/>
              <w:jc w:val="right"/>
              <w:rPr/>
            </w:pPr>
            <w:r>
              <w:rPr/>
              <w:t>472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322,708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(123,436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double" w:sz="10" w:space="0" w:color="000000"/>
            </w:tcBorders>
            <w:shd w:fill="CCEEFF" w:val="clear"/>
            <w:tcMar>
              <w:bottom w:w="28" w:type="dxa"/>
            </w:tcMar>
            <w:vAlign w:val="center"/>
          </w:tcPr>
          <w:p>
            <w:pPr>
              <w:pStyle w:val="TableContents"/>
              <w:bidi w:val="0"/>
              <w:spacing w:before="0" w:after="283"/>
              <w:jc w:val="right"/>
              <w:rPr/>
            </w:pPr>
            <w:r>
              <w:rPr/>
              <w:t>199,744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199,744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Attributable to Company’s Stockholders</w:t>
      </w:r>
    </w:p>
    <w:p>
      <w:pPr>
        <w:pStyle w:val="TextBody"/>
        <w:bidi w:val="0"/>
        <w:spacing w:before="0" w:after="0"/>
        <w:ind w:left="0" w:right="0" w:hanging="0"/>
        <w:jc w:val="left"/>
        <w:rPr>
          <w:caps w:val="false"/>
          <w:smallCaps w:val="false"/>
        </w:rPr>
      </w:pPr>
      <w:r>
        <w:rPr>
          <w:caps w:val="false"/>
          <w:smallCaps w:val="false"/>
        </w:rPr>
        <w:t> </w:t>
      </w:r>
    </w:p>
    <w:tbl>
      <w:tblPr>
        <w:tblW w:w="11380" w:type="dxa"/>
        <w:jc w:val="left"/>
        <w:tblInd w:w="0" w:type="dxa"/>
        <w:tblLayout w:type="fixed"/>
        <w:tblCellMar>
          <w:top w:w="0" w:type="dxa"/>
          <w:left w:w="0" w:type="dxa"/>
          <w:bottom w:w="0" w:type="dxa"/>
          <w:right w:w="0" w:type="dxa"/>
        </w:tblCellMar>
      </w:tblPr>
      <w:tblGrid>
        <w:gridCol w:w="2075"/>
        <w:gridCol w:w="90"/>
        <w:gridCol w:w="154"/>
        <w:gridCol w:w="1216"/>
        <w:gridCol w:w="125"/>
        <w:gridCol w:w="90"/>
        <w:gridCol w:w="90"/>
        <w:gridCol w:w="410"/>
        <w:gridCol w:w="125"/>
        <w:gridCol w:w="90"/>
        <w:gridCol w:w="110"/>
        <w:gridCol w:w="1020"/>
        <w:gridCol w:w="125"/>
        <w:gridCol w:w="90"/>
        <w:gridCol w:w="126"/>
        <w:gridCol w:w="1274"/>
        <w:gridCol w:w="125"/>
        <w:gridCol w:w="90"/>
        <w:gridCol w:w="129"/>
        <w:gridCol w:w="1196"/>
        <w:gridCol w:w="125"/>
        <w:gridCol w:w="90"/>
        <w:gridCol w:w="179"/>
        <w:gridCol w:w="966"/>
        <w:gridCol w:w="125"/>
        <w:gridCol w:w="90"/>
        <w:gridCol w:w="90"/>
        <w:gridCol w:w="830"/>
        <w:gridCol w:w="135"/>
      </w:tblGrid>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85" w:type="dxa"/>
            <w:gridSpan w:val="6"/>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Non-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0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Common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stockholders’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controlling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interests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In thousands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b/>
              </w:rPr>
            </w:pPr>
            <w:r>
              <w:rPr>
                <w:b/>
              </w:rPr>
              <w:t>BALANCE AS OF JANUARY 1, 2024</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40,339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485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320,892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(157,556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163,821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(928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162,893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vAlign w:val="center"/>
          </w:tcPr>
          <w:p>
            <w:pPr>
              <w:pStyle w:val="TableContents"/>
              <w:bidi w:val="0"/>
              <w:spacing w:before="0" w:after="283"/>
              <w:jc w:val="left"/>
              <w:rPr>
                <w:b/>
              </w:rPr>
            </w:pPr>
            <w:r>
              <w:rPr>
                <w:b/>
              </w:rPr>
              <w:t>STOCK-BASED COMPENSATION</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618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3,991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3,998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3,998</w:t>
            </w:r>
          </w:p>
        </w:tc>
        <w:tc>
          <w:tcPr>
            <w:tcW w:w="135" w:type="dxa"/>
            <w:tcBorders/>
            <w:vAlign w:val="center"/>
          </w:tcPr>
          <w:p>
            <w:pPr>
              <w:pStyle w:val="TableContents"/>
              <w:bidi w:val="0"/>
              <w:spacing w:before="0" w:after="283"/>
              <w:ind w:left="0" w:right="0" w:hanging="180"/>
              <w:jc w:val="left"/>
              <w:rPr/>
            </w:pPr>
            <w:r>
              <w:rPr/>
              <w:t> </w:t>
            </w:r>
          </w:p>
        </w:tc>
      </w:tr>
      <w:tr>
        <w:trPr/>
        <w:tc>
          <w:tcPr>
            <w:tcW w:w="2075" w:type="dxa"/>
            <w:tcBorders/>
            <w:shd w:fill="CCEEFF" w:val="clear"/>
            <w:vAlign w:val="center"/>
          </w:tcPr>
          <w:p>
            <w:pPr>
              <w:pStyle w:val="TableContents"/>
              <w:bidi w:val="0"/>
              <w:spacing w:before="0" w:after="283"/>
              <w:jc w:val="left"/>
              <w:rPr>
                <w:b/>
              </w:rPr>
            </w:pPr>
            <w:r>
              <w:rPr>
                <w:b/>
              </w:rPr>
              <w:t>STOCK-BASED COMPENSATION OF SUBSIDIARY</w:t>
            </w:r>
          </w:p>
        </w:tc>
        <w:tc>
          <w:tcPr>
            <w:tcW w:w="9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2075" w:type="dxa"/>
            <w:tcBorders/>
            <w:vAlign w:val="center"/>
          </w:tcPr>
          <w:p>
            <w:pPr>
              <w:pStyle w:val="TableContents"/>
              <w:bidi w:val="0"/>
              <w:spacing w:before="0" w:after="283"/>
              <w:jc w:val="left"/>
              <w:rPr>
                <w:b/>
              </w:rPr>
            </w:pPr>
            <w:r>
              <w:rPr>
                <w:b/>
              </w:rPr>
              <w:t>REPURCHASE AND RETIREMENT OF COMMON STOCK</w:t>
            </w:r>
          </w:p>
        </w:tc>
        <w:tc>
          <w:tcPr>
            <w:tcW w:w="9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6" w:type="dxa"/>
            <w:tcBorders/>
            <w:vAlign w:val="center"/>
          </w:tcPr>
          <w:p>
            <w:pPr>
              <w:pStyle w:val="TableContents"/>
              <w:bidi w:val="0"/>
              <w:spacing w:before="0" w:after="283"/>
              <w:jc w:val="right"/>
              <w:rPr/>
            </w:pPr>
            <w:r>
              <w:rPr/>
              <w:t>(1,037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right"/>
              <w:rPr/>
            </w:pPr>
            <w:r>
              <w:rPr/>
              <w:t>(2,482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(2,494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(2,494</w:t>
            </w:r>
          </w:p>
        </w:tc>
        <w:tc>
          <w:tcPr>
            <w:tcW w:w="135" w:type="dxa"/>
            <w:tcBorders/>
            <w:vAlign w:val="center"/>
          </w:tcPr>
          <w:p>
            <w:pPr>
              <w:pStyle w:val="TableContents"/>
              <w:bidi w:val="0"/>
              <w:spacing w:before="0" w:after="283"/>
              <w:ind w:left="0" w:right="0" w:hanging="180"/>
              <w:jc w:val="left"/>
              <w:rPr/>
            </w:pPr>
            <w:r>
              <w:rPr/>
              <w:t>)</w:t>
            </w:r>
          </w:p>
        </w:tc>
      </w:tr>
      <w:tr>
        <w:trPr/>
        <w:tc>
          <w:tcPr>
            <w:tcW w:w="2075" w:type="dxa"/>
            <w:tcBorders/>
            <w:shd w:fill="CCEEFF" w:val="clear"/>
            <w:vAlign w:val="center"/>
          </w:tcPr>
          <w:p>
            <w:pPr>
              <w:pStyle w:val="TableContents"/>
              <w:bidi w:val="0"/>
              <w:spacing w:before="0" w:after="283"/>
              <w:jc w:val="left"/>
              <w:rPr>
                <w:b/>
              </w:rPr>
            </w:pPr>
            <w:r>
              <w:rPr>
                <w:b/>
              </w:rPr>
              <w:t>NET INCOME (LOSS)</w:t>
            </w:r>
          </w:p>
        </w:tc>
        <w:tc>
          <w:tcPr>
            <w:tcW w:w="9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(19,060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6" w:type="dxa"/>
            <w:tcBorders>
              <w:bottom w:val="single" w:sz="12" w:space="0" w:color="000000"/>
            </w:tcBorders>
            <w:shd w:fill="CCEEFF" w:val="clear"/>
            <w:tcMar>
              <w:bottom w:w="28" w:type="dxa"/>
            </w:tcMar>
            <w:vAlign w:val="center"/>
          </w:tcPr>
          <w:p>
            <w:pPr>
              <w:pStyle w:val="TableContents"/>
              <w:bidi w:val="0"/>
              <w:spacing w:before="0" w:after="283"/>
              <w:jc w:val="right"/>
              <w:rPr/>
            </w:pPr>
            <w:r>
              <w:rPr/>
              <w:t>(19,060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6"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(19,103</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2075" w:type="dxa"/>
            <w:tcBorders/>
            <w:vAlign w:val="center"/>
          </w:tcPr>
          <w:p>
            <w:pPr>
              <w:pStyle w:val="TableContents"/>
              <w:bidi w:val="0"/>
              <w:spacing w:before="0" w:after="283"/>
              <w:jc w:val="left"/>
              <w:rPr>
                <w:b/>
              </w:rPr>
            </w:pPr>
            <w:r>
              <w:rPr>
                <w:b/>
              </w:rPr>
              <w:t>BALANCE AS OF DECEMBER 31, 2024</w:t>
            </w:r>
          </w:p>
        </w:tc>
        <w:tc>
          <w:tcPr>
            <w:tcW w:w="90" w:type="dxa"/>
            <w:tcBorders/>
            <w:vAlign w:val="center"/>
          </w:tcPr>
          <w:p>
            <w:pPr>
              <w:pStyle w:val="TableContents"/>
              <w:bidi w:val="0"/>
              <w:spacing w:before="0" w:after="283"/>
              <w:jc w:val="left"/>
              <w:rPr/>
            </w:pPr>
            <w:r>
              <w:rPr/>
              <w:t> </w:t>
            </w:r>
          </w:p>
        </w:tc>
        <w:tc>
          <w:tcPr>
            <w:tcW w:w="154" w:type="dxa"/>
            <w:tcBorders>
              <w:bottom w:val="double" w:sz="10" w:space="0" w:color="000000"/>
            </w:tcBorders>
            <w:tcMar>
              <w:bottom w:w="28" w:type="dxa"/>
            </w:tcMar>
            <w:vAlign w:val="center"/>
          </w:tcPr>
          <w:p>
            <w:pPr>
              <w:pStyle w:val="TableContents"/>
              <w:bidi w:val="0"/>
              <w:spacing w:before="0" w:after="283"/>
              <w:jc w:val="left"/>
              <w:rPr/>
            </w:pPr>
            <w:r>
              <w:rPr/>
              <w:t> </w:t>
            </w:r>
          </w:p>
        </w:tc>
        <w:tc>
          <w:tcPr>
            <w:tcW w:w="1216" w:type="dxa"/>
            <w:tcBorders>
              <w:bottom w:val="double" w:sz="10" w:space="0" w:color="000000"/>
            </w:tcBorders>
            <w:tcMar>
              <w:bottom w:w="28" w:type="dxa"/>
            </w:tcMar>
            <w:vAlign w:val="center"/>
          </w:tcPr>
          <w:p>
            <w:pPr>
              <w:pStyle w:val="TableContents"/>
              <w:bidi w:val="0"/>
              <w:spacing w:before="0" w:after="283"/>
              <w:jc w:val="right"/>
              <w:rPr/>
            </w:pPr>
            <w:r>
              <w:rPr/>
              <w:t>39,920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410" w:type="dxa"/>
            <w:tcBorders>
              <w:bottom w:val="double" w:sz="10" w:space="0" w:color="000000"/>
            </w:tcBorders>
            <w:tcMar>
              <w:bottom w:w="28" w:type="dxa"/>
            </w:tcMar>
            <w:vAlign w:val="center"/>
          </w:tcPr>
          <w:p>
            <w:pPr>
              <w:pStyle w:val="TableContents"/>
              <w:bidi w:val="0"/>
              <w:spacing w:before="0" w:after="283"/>
              <w:jc w:val="right"/>
              <w:rPr/>
            </w:pPr>
            <w:r>
              <w:rPr/>
              <w:t>480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tcMar>
              <w:bottom w:w="28" w:type="dxa"/>
            </w:tcMar>
            <w:vAlign w:val="center"/>
          </w:tcPr>
          <w:p>
            <w:pPr>
              <w:pStyle w:val="TableContents"/>
              <w:bidi w:val="0"/>
              <w:spacing w:before="0" w:after="283"/>
              <w:jc w:val="right"/>
              <w:rPr/>
            </w:pPr>
            <w:r>
              <w:rPr/>
              <w:t>322,401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tcMar>
              <w:bottom w:w="28" w:type="dxa"/>
            </w:tcMar>
            <w:vAlign w:val="center"/>
          </w:tcPr>
          <w:p>
            <w:pPr>
              <w:pStyle w:val="TableContents"/>
              <w:bidi w:val="0"/>
              <w:spacing w:before="0" w:after="283"/>
              <w:jc w:val="right"/>
              <w:rPr/>
            </w:pPr>
            <w:r>
              <w:rPr/>
              <w:t>(176,616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9"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6" w:type="dxa"/>
            <w:tcBorders>
              <w:bottom w:val="double" w:sz="10" w:space="0" w:color="000000"/>
            </w:tcBorders>
            <w:tcMar>
              <w:bottom w:w="28" w:type="dxa"/>
            </w:tcMar>
            <w:vAlign w:val="center"/>
          </w:tcPr>
          <w:p>
            <w:pPr>
              <w:pStyle w:val="TableContents"/>
              <w:bidi w:val="0"/>
              <w:spacing w:before="0" w:after="283"/>
              <w:jc w:val="right"/>
              <w:rPr/>
            </w:pPr>
            <w:r>
              <w:rPr/>
              <w:t>146,265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9" w:type="dxa"/>
            <w:tcBorders>
              <w:bottom w:val="double" w:sz="10" w:space="0" w:color="000000"/>
            </w:tcBorders>
            <w:tcMar>
              <w:bottom w:w="28" w:type="dxa"/>
            </w:tcMar>
            <w:vAlign w:val="center"/>
          </w:tcPr>
          <w:p>
            <w:pPr>
              <w:pStyle w:val="TableContents"/>
              <w:bidi w:val="0"/>
              <w:spacing w:before="0" w:after="283"/>
              <w:jc w:val="left"/>
              <w:rPr/>
            </w:pPr>
            <w:r>
              <w:rPr/>
              <w:t> </w:t>
            </w:r>
          </w:p>
        </w:tc>
        <w:tc>
          <w:tcPr>
            <w:tcW w:w="966" w:type="dxa"/>
            <w:tcBorders>
              <w:bottom w:val="double" w:sz="10" w:space="0" w:color="000000"/>
            </w:tcBorders>
            <w:tcMar>
              <w:bottom w:w="28" w:type="dxa"/>
            </w:tcMar>
            <w:vAlign w:val="center"/>
          </w:tcPr>
          <w:p>
            <w:pPr>
              <w:pStyle w:val="TableContents"/>
              <w:bidi w:val="0"/>
              <w:spacing w:before="0" w:after="283"/>
              <w:jc w:val="right"/>
              <w:rPr/>
            </w:pPr>
            <w:r>
              <w:rPr/>
              <w:t>(918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145,347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F-6</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4" w:name="fin_005"/>
      <w:bookmarkEnd w:id="34"/>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CONSOLIDATED STATEMENTS OF CASH FLOWS</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79"/>
        <w:gridCol w:w="90"/>
        <w:gridCol w:w="252"/>
        <w:gridCol w:w="1172"/>
        <w:gridCol w:w="125"/>
        <w:gridCol w:w="90"/>
        <w:gridCol w:w="241"/>
        <w:gridCol w:w="1183"/>
        <w:gridCol w:w="173"/>
      </w:tblGrid>
      <w:tr>
        <w:trPr/>
        <w:tc>
          <w:tcPr>
            <w:tcW w:w="6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 xml:space="preserve">Year ended </w:t>
              <w:br/>
              <w:t>December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center"/>
              <w:rPr>
                <w:b/>
              </w:rPr>
            </w:pPr>
            <w:r>
              <w:rPr>
                <w:b/>
              </w:rPr>
              <w:t xml:space="preserve">Year ended </w:t>
              <w:br/>
              <w:t>December 31,</w:t>
            </w:r>
          </w:p>
        </w:tc>
        <w:tc>
          <w:tcPr>
            <w:tcW w:w="173" w:type="dxa"/>
            <w:tcBorders/>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4"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Net income (loss)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64,016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(19,103</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Adjustments required to reconcile net income (loss) to net cash used in operating activities: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Depreciation</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193</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Exchange differences and interest on deposits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830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(2,700</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Changes in fair value of investments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(86,096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7,413</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5,992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4,053</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Gain on amounts funded in respect of employee rights upon retirement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Change in accrued interest on short-term borrowings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(1,463</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(998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(356</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Accounts payable, accrued expenses and related parties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1,130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3,525</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Net changes in operating lease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43</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Deferred revenues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Deferred income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(105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Liability for employee rights upon retirement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Deferred tax liabilities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7,911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Total net cash used in operating activities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(9,145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(8,412</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Purchase of property and equipment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(18</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Purchase of short-term deposits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(10,948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(54,450</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Purchase of marketable securities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(9,846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Investments at fair value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(64,712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(1,307</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Purchase of convertible note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(3,000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Proceeds from redemption of short-term deposits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54,450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97,152</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Exercise of Closing Penny Warrants and Subsequent Penny Warrants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(65</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Proceeds from loan to an equity method investee</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Loan to investment in equity method</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(7,000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Real estate investment</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(1,924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Equity method investee</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(250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Proceeds from long-term deposits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Proceeds from marketable securities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2,865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Proceeds from long-term investments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39,566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64,500</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Total net cash provided by investing activities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5,443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105,817</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Repurchase and retirement of common stock</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(4,741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(2,484</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Loans repaid</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(49,550</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Tax withholdings related to stock-based compensation settlements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(2</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Total net cash used in financing activities</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shd w:fill="CCEEFF" w:val="clear"/>
            <w:tcMar>
              <w:bottom w:w="28" w:type="dxa"/>
            </w:tcMar>
            <w:vAlign w:val="center"/>
          </w:tcPr>
          <w:p>
            <w:pPr>
              <w:pStyle w:val="TableContents"/>
              <w:bidi w:val="0"/>
              <w:spacing w:before="0" w:after="283"/>
              <w:jc w:val="right"/>
              <w:rPr/>
            </w:pPr>
            <w:r>
              <w:rPr/>
              <w:t>(4,741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(52,036</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b/>
              </w:rPr>
            </w:pPr>
            <w:r>
              <w:rPr>
                <w:b/>
              </w:rPr>
              <w:t>EFFECT OF EXCHANGE RATE CHANGES ON CASH AND CASH EQUIVALENTS</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(4</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b/>
              </w:rPr>
            </w:pPr>
            <w:r>
              <w:rPr>
                <w:b/>
              </w:rPr>
              <w:t>INCREASE (DECREASE) IN CASH AND CASH EQUIVALENTS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(8,473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45,365</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b/>
              </w:rPr>
            </w:pPr>
            <w:r>
              <w:rPr>
                <w:b/>
              </w:rPr>
              <w:t>CASH AND CASH EQUIVALENTS AT BEGINNING OF YEAR</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2" w:type="dxa"/>
            <w:tcBorders>
              <w:bottom w:val="single" w:sz="12" w:space="0" w:color="000000"/>
            </w:tcBorders>
            <w:tcMar>
              <w:bottom w:w="28" w:type="dxa"/>
            </w:tcMar>
            <w:vAlign w:val="center"/>
          </w:tcPr>
          <w:p>
            <w:pPr>
              <w:pStyle w:val="TableContents"/>
              <w:bidi w:val="0"/>
              <w:spacing w:before="0" w:after="283"/>
              <w:jc w:val="right"/>
              <w:rPr/>
            </w:pPr>
            <w:r>
              <w:rPr/>
              <w:t>54,420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tcMar>
              <w:bottom w:w="28" w:type="dxa"/>
            </w:tcMar>
            <w:vAlign w:val="center"/>
          </w:tcPr>
          <w:p>
            <w:pPr>
              <w:pStyle w:val="TableContents"/>
              <w:bidi w:val="0"/>
              <w:spacing w:before="0" w:after="283"/>
              <w:jc w:val="right"/>
              <w:rPr/>
            </w:pPr>
            <w:r>
              <w:rPr/>
              <w:t>9,055</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b/>
              </w:rPr>
            </w:pPr>
            <w:r>
              <w:rPr>
                <w:b/>
              </w:rPr>
              <w:t>CASH AND CASH EQUIVALENTS AT END OF YEAR</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2" w:type="dxa"/>
            <w:tcBorders>
              <w:bottom w:val="double" w:sz="10" w:space="0" w:color="000000"/>
            </w:tcBorders>
            <w:shd w:fill="CCEEFF" w:val="clear"/>
            <w:tcMar>
              <w:bottom w:w="28" w:type="dxa"/>
            </w:tcMar>
            <w:vAlign w:val="center"/>
          </w:tcPr>
          <w:p>
            <w:pPr>
              <w:pStyle w:val="TableContents"/>
              <w:bidi w:val="0"/>
              <w:spacing w:before="0" w:after="283"/>
              <w:jc w:val="right"/>
              <w:rPr/>
            </w:pPr>
            <w:r>
              <w:rPr/>
              <w:t>45,947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10" w:space="0" w:color="000000"/>
            </w:tcBorders>
            <w:shd w:fill="CCEEFF" w:val="clear"/>
            <w:tcMar>
              <w:bottom w:w="28" w:type="dxa"/>
            </w:tcMar>
            <w:vAlign w:val="center"/>
          </w:tcPr>
          <w:p>
            <w:pPr>
              <w:pStyle w:val="TableContents"/>
              <w:bidi w:val="0"/>
              <w:spacing w:before="0" w:after="283"/>
              <w:jc w:val="right"/>
              <w:rPr/>
            </w:pPr>
            <w:r>
              <w:rPr/>
              <w:t>54,420</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b/>
              </w:rPr>
            </w:pPr>
            <w:r>
              <w:rPr>
                <w:b/>
              </w:rPr>
              <w:t>(A) SUPPLEMENTARY DISCLOSURE ON CASH FLOWS:</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Interest paid</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w:t>
            </w:r>
          </w:p>
        </w:tc>
        <w:tc>
          <w:tcPr>
            <w:tcW w:w="1183" w:type="dxa"/>
            <w:tcBorders/>
            <w:vAlign w:val="center"/>
          </w:tcPr>
          <w:p>
            <w:pPr>
              <w:pStyle w:val="TableContents"/>
              <w:bidi w:val="0"/>
              <w:spacing w:before="0" w:after="283"/>
              <w:jc w:val="right"/>
              <w:rPr/>
            </w:pPr>
            <w:r>
              <w:rPr/>
              <w:t>2,316</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Interest received</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4,626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7,376</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b/>
              </w:rPr>
            </w:pPr>
            <w:r>
              <w:rPr>
                <w:b/>
              </w:rPr>
              <w:t>(B) SUPPLEMENTAL DISCLOSURE OF NON-CASH ACTIVITIES: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2024 Refinancing Tranche A</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(21,575</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2024 Refinancing Tranche B</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25,000</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Excise tax for repurchase and retirement of common stock</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(10</w:t>
            </w:r>
          </w:p>
        </w:tc>
        <w:tc>
          <w:tcPr>
            <w:tcW w:w="173" w:type="dxa"/>
            <w:tcBorders/>
            <w:shd w:fill="CCEEFF" w:val="clear"/>
            <w:vAlign w:val="center"/>
          </w:tcPr>
          <w:p>
            <w:pPr>
              <w:pStyle w:val="TableContents"/>
              <w:bidi w:val="0"/>
              <w:spacing w:before="0" w:after="283"/>
              <w:jc w:val="left"/>
              <w:rPr/>
            </w:pPr>
            <w:r>
              <w:rPr/>
              <w:t>)</w:t>
            </w:r>
          </w:p>
        </w:tc>
      </w:tr>
      <w:tr>
        <w:trPr/>
        <w:tc>
          <w:tcPr>
            <w:tcW w:w="6879" w:type="dxa"/>
            <w:tcBorders/>
            <w:vAlign w:val="center"/>
          </w:tcPr>
          <w:p>
            <w:pPr>
              <w:pStyle w:val="TableContents"/>
              <w:bidi w:val="0"/>
              <w:spacing w:before="0" w:after="283"/>
              <w:jc w:val="left"/>
              <w:rPr/>
            </w:pPr>
            <w:r>
              <w:rPr/>
              <w:t>Recognition of operating lease right-of-use assets and liabilities</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600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58</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Waiver of loan granted to subsidiary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952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Derecognition of right-of-use asset</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(26</w:t>
            </w:r>
          </w:p>
        </w:tc>
        <w:tc>
          <w:tcPr>
            <w:tcW w:w="173" w:type="dxa"/>
            <w:tcBorders/>
            <w:vAlign w:val="center"/>
          </w:tcPr>
          <w:p>
            <w:pPr>
              <w:pStyle w:val="TableContents"/>
              <w:bidi w:val="0"/>
              <w:spacing w:before="0" w:after="283"/>
              <w:jc w:val="left"/>
              <w:rPr/>
            </w:pPr>
            <w:r>
              <w:rPr/>
              <w:t>)</w:t>
            </w:r>
          </w:p>
        </w:tc>
      </w:tr>
      <w:tr>
        <w:trPr/>
        <w:tc>
          <w:tcPr>
            <w:tcW w:w="6879" w:type="dxa"/>
            <w:tcBorders/>
            <w:shd w:fill="CCEEFF" w:val="clear"/>
            <w:vAlign w:val="center"/>
          </w:tcPr>
          <w:p>
            <w:pPr>
              <w:pStyle w:val="TableContents"/>
              <w:bidi w:val="0"/>
              <w:spacing w:before="0" w:after="283"/>
              <w:jc w:val="left"/>
              <w:rPr/>
            </w:pPr>
            <w:r>
              <w:rPr/>
              <w:t>Derecognition of lease liability</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23</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Purchases of marketable securities not yet settled</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r>
        <w:trPr/>
        <w:tc>
          <w:tcPr>
            <w:tcW w:w="6879" w:type="dxa"/>
            <w:tcBorders/>
            <w:shd w:fill="CCEEFF" w:val="clear"/>
            <w:vAlign w:val="center"/>
          </w:tcPr>
          <w:p>
            <w:pPr>
              <w:pStyle w:val="TableContents"/>
              <w:bidi w:val="0"/>
              <w:spacing w:before="0" w:after="283"/>
              <w:jc w:val="left"/>
              <w:rPr/>
            </w:pPr>
            <w:r>
              <w:rPr/>
              <w:t>Dividends declared but not yet paid in cash</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10,870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0"/>
              <w:jc w:val="right"/>
              <w:rPr/>
            </w:pPr>
            <w:r>
              <w:rPr/>
              <w:t>-</w:t>
            </w:r>
          </w:p>
        </w:tc>
        <w:tc>
          <w:tcPr>
            <w:tcW w:w="173" w:type="dxa"/>
            <w:tcBorders/>
            <w:shd w:fill="CCEEFF" w:val="clear"/>
            <w:vAlign w:val="center"/>
          </w:tcPr>
          <w:p>
            <w:pPr>
              <w:pStyle w:val="TableContents"/>
              <w:bidi w:val="0"/>
              <w:spacing w:before="0" w:after="283"/>
              <w:jc w:val="left"/>
              <w:rPr/>
            </w:pPr>
            <w:r>
              <w:rPr/>
              <w:t> </w:t>
            </w:r>
          </w:p>
        </w:tc>
      </w:tr>
      <w:tr>
        <w:trPr/>
        <w:tc>
          <w:tcPr>
            <w:tcW w:w="6879" w:type="dxa"/>
            <w:tcBorders/>
            <w:vAlign w:val="center"/>
          </w:tcPr>
          <w:p>
            <w:pPr>
              <w:pStyle w:val="TableContents"/>
              <w:bidi w:val="0"/>
              <w:spacing w:before="0" w:after="283"/>
              <w:jc w:val="left"/>
              <w:rPr/>
            </w:pPr>
            <w:r>
              <w:rPr/>
              <w:t>Warrants received from Alpha Tau</w:t>
            </w:r>
          </w:p>
        </w:tc>
        <w:tc>
          <w:tcPr>
            <w:tcW w:w="90" w:type="dxa"/>
            <w:tcBorders/>
            <w:vAlign w:val="center"/>
          </w:tcPr>
          <w:p>
            <w:pPr>
              <w:pStyle w:val="TableContents"/>
              <w:bidi w:val="0"/>
              <w:spacing w:before="0" w:after="283"/>
              <w:jc w:val="left"/>
              <w:rPr/>
            </w:pPr>
            <w:r>
              <w:rPr/>
              <w:t> </w:t>
            </w:r>
          </w:p>
        </w:tc>
        <w:tc>
          <w:tcPr>
            <w:tcW w:w="252"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2" w:type="dxa"/>
            <w:tcBorders>
              <w:bottom w:val="double" w:sz="10" w:space="0" w:color="000000"/>
            </w:tcBorders>
            <w:tcMar>
              <w:bottom w:w="28" w:type="dxa"/>
            </w:tcMar>
            <w:vAlign w:val="center"/>
          </w:tcPr>
          <w:p>
            <w:pPr>
              <w:pStyle w:val="TableContents"/>
              <w:bidi w:val="0"/>
              <w:spacing w:before="0" w:after="283"/>
              <w:jc w:val="right"/>
              <w:rPr/>
            </w:pPr>
            <w:r>
              <w:rPr/>
              <w:t>2,727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 w:type="dxa"/>
            <w:tcBorders>
              <w:bottom w:val="double" w:sz="10" w:space="0" w:color="000000"/>
            </w:tcBorders>
            <w:tcMar>
              <w:bottom w:w="28" w:type="dxa"/>
            </w:tcMar>
            <w:vAlign w:val="center"/>
          </w:tcPr>
          <w:p>
            <w:pPr>
              <w:pStyle w:val="TableContents"/>
              <w:bidi w:val="0"/>
              <w:spacing w:before="0" w:after="283"/>
              <w:jc w:val="left"/>
              <w:rPr/>
            </w:pPr>
            <w:r>
              <w:rPr/>
              <w:t> </w:t>
            </w:r>
          </w:p>
        </w:tc>
        <w:tc>
          <w:tcPr>
            <w:tcW w:w="1183" w:type="dxa"/>
            <w:tcBorders>
              <w:bottom w:val="double" w:sz="10" w:space="0" w:color="000000"/>
            </w:tcBorders>
            <w:tcMar>
              <w:bottom w:w="28" w:type="dxa"/>
            </w:tcMar>
            <w:vAlign w:val="center"/>
          </w:tcPr>
          <w:p>
            <w:pPr>
              <w:pStyle w:val="TableContents"/>
              <w:bidi w:val="0"/>
              <w:spacing w:before="0" w:after="0"/>
              <w:jc w:val="right"/>
              <w:rPr/>
            </w:pPr>
            <w:r>
              <w:rPr/>
              <w:t>-</w:t>
            </w:r>
          </w:p>
        </w:tc>
        <w:tc>
          <w:tcPr>
            <w:tcW w:w="1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5" w:name="fin_006"/>
      <w:bookmarkEnd w:id="35"/>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SIGNIFICANT ACCOUNTING POLICIES:</w:t>
      </w:r>
    </w:p>
    <w:p>
      <w:pPr>
        <w:pStyle w:val="TextBody"/>
        <w:bidi w:val="0"/>
        <w:spacing w:before="0" w:after="0"/>
        <w:ind w:left="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105"/>
        <w:gridCol w:w="200"/>
        <w:gridCol w:w="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7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Pharmaceuticals Inc. (collectively with its subsidiaries, the “Company,” unless the context indicates otherwise), a Delaware corporation, was incorporated on April 12, 2002.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2007, the Company incorporated a wholly-owned subsidiary in Israel, Oramed Ltd. (the “Subsidiary”), which is engaged in research and development.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the Company entered into a license agreement with Oravax Medical Inc. (“Oravax”) and holds 63% of the issued and outstanding share capital of Oravax, on a fully diluted basis, as of the date of issuance. Consequently, Oramed consolidates Oravax in its consolidated financial statements since that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Oravax ceased its operations. As a result, the Company waved the loan owed by Oravax to the Company (“waver of the loan”). In connection with the waiver of the loan, which effectively constituted a benefit to the non-controlling interest, the Company recognized the impact as an adjustment to non-controlling interest balance, with a corresponding adjustment to additional paid-in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2024, the Company incorporated a wholly-owned subsidiary in Nevada, Oramed NewCo, Inc. (“OraTech”), which was initially intended to serve as the joint venture entity with Hefei Tianhui Biotech Co., Ltd. (“HTIT”) (see below). Following the termination of the JV Agreement with HTIT, the Company intends to use OraTech as a corporate vehicle for the transaction with Lifeward (for additional information see note 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Joint venture with HTIT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the Company and HTIT entered into a Joint Venture Agreement (the “JV Agreement”), amending the Initial JV Agreement. The joint venture (“JV”) was formed with the purpose of advancing the development and commercialization of oral insulin, combining the Company’s proprietary technology and funding with HTIT’s manufacturing capabilities. Through this partnership, the JV was expected to have the technology, resources, and production capacity to bring oral insulin to market.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closing of the JV Agreement, initially set on April 30, 2025, and was subsequently extended. However, HTIT was unable to satisfy the closing conditions under the JV Agreement and the supplemental agreement. On October 23, 2025, the Company provided notice to HTIT to terminate the JV Agreement and the supplemental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Alpha Tau Medical Ltd.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Subsidiary acquired approximately 17% of the outstanding ordinary shares of Alpha Tau Medical Ltd. (“Alpha Tau”) (Nasdaq: DRTS) for an aggregate purchase price of $36,900. Concurrently, the Subsidiary and Alpha Tau also entered into a services arrangement (“Service Agreement”). Further details are provided in note 8.</w:t>
      </w:r>
    </w:p>
    <w:p>
      <w:pPr>
        <w:pStyle w:val="TextBody"/>
        <w:bidi w:val="0"/>
        <w:spacing w:before="0" w:after="0"/>
        <w:ind w:left="1080" w:right="0" w:hanging="0"/>
        <w:jc w:val="both"/>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68"/>
        <w:gridCol w:w="200"/>
        <w:gridCol w:w="1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8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included herein have been prepared in accordance with generally accepted accounting principles in the United States of America (“U.S. GAAP”).</w:t>
      </w:r>
    </w:p>
    <w:p>
      <w:pPr>
        <w:pStyle w:val="TextBody"/>
        <w:bidi w:val="0"/>
        <w:spacing w:before="0" w:after="0"/>
        <w:ind w:left="720" w:right="0" w:hanging="0"/>
        <w:jc w:val="both"/>
        <w:rPr>
          <w:caps w:val="false"/>
          <w:smallCaps w:val="false"/>
        </w:rPr>
      </w:pPr>
      <w:r>
        <w:rPr>
          <w:caps w:val="false"/>
          <w:smallCaps w:val="false"/>
        </w:rPr>
        <w:t> </w:t>
      </w:r>
    </w:p>
    <w:tbl>
      <w:tblPr>
        <w:tblW w:w="5193" w:type="dxa"/>
        <w:jc w:val="left"/>
        <w:tblInd w:w="0" w:type="dxa"/>
        <w:tblLayout w:type="fixed"/>
        <w:tblCellMar>
          <w:top w:w="0" w:type="dxa"/>
          <w:left w:w="0" w:type="dxa"/>
          <w:bottom w:w="0" w:type="dxa"/>
          <w:right w:w="0" w:type="dxa"/>
        </w:tblCellMar>
      </w:tblPr>
      <w:tblGrid>
        <w:gridCol w:w="68"/>
        <w:gridCol w:w="185"/>
        <w:gridCol w:w="494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49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estimates in the preparation of financial statements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 of contingent assets and liabilities at the financial statements date and the reported revenues and expenses during the reporting periods. Actual results could differ from those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to these consolidated financial statements, the most significant estimates and assumptions relate to the investments at fair value (for further details, see note 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F-8</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105"/>
        <w:gridCol w:w="200"/>
        <w:gridCol w:w="18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8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Functional currency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of the primary economic environment in which the operations of the Company and its subsidiaries are conducted is the U.S. dollar (“$” or “dollar”). Therefore, the functional currency of the Company and its subsidiaries is the dollar.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balances originally denominated in dollars are presented at their original amounts. Balances in foreign currencies are translated into dollars using historical and current exchange rates for non-monetary and monetary balances, respectively. For foreign transactions and other items reflected in the statements of operations, the following exchange rates are used: (1) for transactions – exchange rates at transaction dates or average rates and (2) for other items (derived from non-monetary balance sheet items such as depreciation) – historical exchange rates. The resulting transaction gains or losses are carried to financial income or expenses, as appropriate.</w:t>
      </w:r>
    </w:p>
    <w:p>
      <w:pPr>
        <w:pStyle w:val="TextBody"/>
        <w:bidi w:val="0"/>
        <w:spacing w:before="0" w:after="0"/>
        <w:ind w:left="72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05"/>
        <w:gridCol w:w="185"/>
        <w:gridCol w:w="3860"/>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38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Repurchase and retirement of common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debited the common stock account by the par value of the shares retired and allocated the excess of the repurchase price over the par value of the shares to additional paid in capital.</w:t>
      </w:r>
    </w:p>
    <w:p>
      <w:pPr>
        <w:pStyle w:val="TextBody"/>
        <w:bidi w:val="0"/>
        <w:spacing w:before="0" w:after="0"/>
        <w:ind w:left="720" w:right="0" w:hanging="0"/>
        <w:jc w:val="both"/>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68"/>
        <w:gridCol w:w="155"/>
        <w:gridCol w:w="2345"/>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23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Principles of consolidation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subsidiaries. All inter-company transactions and balances have been eliminated in consolidation.</w:t>
      </w:r>
    </w:p>
    <w:p>
      <w:pPr>
        <w:pStyle w:val="TextBody"/>
        <w:bidi w:val="0"/>
        <w:spacing w:before="0" w:after="0"/>
        <w:ind w:left="720" w:right="0" w:hanging="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105"/>
        <w:gridCol w:w="200"/>
        <w:gridCol w:w="15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15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equivalents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highly liquid investments, which include short-term deposits with original maturities of three months or less from the date of purchase that are not restricted as to withdrawal or use and are readily convertible to known amounts of cash, to be cash equivalents.</w:t>
      </w:r>
    </w:p>
    <w:p>
      <w:pPr>
        <w:pStyle w:val="TextBody"/>
        <w:bidi w:val="0"/>
        <w:spacing w:before="0" w:after="0"/>
        <w:ind w:left="72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05"/>
        <w:gridCol w:w="200"/>
        <w:gridCol w:w="2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22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 measurement: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44"/>
        <w:gridCol w:w="9456"/>
      </w:tblGrid>
      <w:tr>
        <w:trPr/>
        <w:tc>
          <w:tcPr>
            <w:tcW w:w="10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4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(unadjusted) in active markets that are accessible at the measurement date for assets or liabilities. The fair value hierarchy gives the highest priority to Level 1 inputs.</w:t>
            </w:r>
          </w:p>
        </w:tc>
      </w:tr>
      <w:tr>
        <w:trPr/>
        <w:tc>
          <w:tcPr>
            <w:tcW w:w="10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945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4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Observable prices that are based on inputs other than quoted prices included within Level 1 that are observable for the asset or liability, either directly or indirectly.</w:t>
            </w:r>
          </w:p>
        </w:tc>
      </w:tr>
      <w:tr>
        <w:trPr/>
        <w:tc>
          <w:tcPr>
            <w:tcW w:w="10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9456"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4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are used when little or no market data is available. The fair value hierarchy gives the lowest priority to Level 3 inputs.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105"/>
        <w:gridCol w:w="200"/>
        <w:gridCol w:w="32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3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Fair value measurement</w:t>
            </w:r>
            <w:r>
              <w:rPr>
                <w:rFonts w:ascii="Times New Roman;Times;Serif" w:hAnsi="Times New Roman;Times;Serif"/>
                <w:sz w:val="20"/>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subject to fair value measurements on a recurring basis and the level of inputs used in such measurements were as follows:</w:t>
      </w:r>
    </w:p>
    <w:p>
      <w:pPr>
        <w:pStyle w:val="TextBody"/>
        <w:bidi w:val="0"/>
        <w:spacing w:before="0" w:after="0"/>
        <w:ind w:left="72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4895"/>
        <w:gridCol w:w="90"/>
        <w:gridCol w:w="170"/>
        <w:gridCol w:w="710"/>
        <w:gridCol w:w="90"/>
        <w:gridCol w:w="90"/>
        <w:gridCol w:w="249"/>
        <w:gridCol w:w="535"/>
        <w:gridCol w:w="90"/>
        <w:gridCol w:w="90"/>
        <w:gridCol w:w="170"/>
        <w:gridCol w:w="710"/>
        <w:gridCol w:w="90"/>
        <w:gridCol w:w="90"/>
        <w:gridCol w:w="194"/>
        <w:gridCol w:w="950"/>
        <w:gridCol w:w="135"/>
      </w:tblGrid>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DNA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540</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Entera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227</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Nano</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8,371</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Pelthos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4,650</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Investment in Alpha Tau’s shares (see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71,623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71,623</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Loan to an equity method investee (see note 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553</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Warrants Note B (see note 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850</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Tranche A Note (see note 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23,063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23,063</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Tranche B Note (see note 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11,473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11,473</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Royalty Purchase Agreement (see note 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2,209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2,209</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Profit Sharing Loan Agreement (see note 4 (e))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1,890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1,890</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Loan agreement measured in fair value (see note 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27,943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27,943</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Investment in Alpha Tau’s warrants (see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53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6,242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6,242</w:t>
            </w:r>
          </w:p>
        </w:tc>
        <w:tc>
          <w:tcPr>
            <w:tcW w:w="13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Convertible note (see note 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53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4,636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4,636</w:t>
            </w:r>
          </w:p>
        </w:tc>
        <w:tc>
          <w:tcPr>
            <w:tcW w:w="13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85,411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53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78,859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164,270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8562" w:type="dxa"/>
        <w:jc w:val="left"/>
        <w:tblInd w:w="0" w:type="dxa"/>
        <w:tblLayout w:type="fixed"/>
        <w:tblCellMar>
          <w:top w:w="0" w:type="dxa"/>
          <w:left w:w="0" w:type="dxa"/>
          <w:bottom w:w="0" w:type="dxa"/>
          <w:right w:w="0" w:type="dxa"/>
        </w:tblCellMar>
      </w:tblPr>
      <w:tblGrid>
        <w:gridCol w:w="4205"/>
        <w:gridCol w:w="90"/>
        <w:gridCol w:w="175"/>
        <w:gridCol w:w="609"/>
        <w:gridCol w:w="90"/>
        <w:gridCol w:w="90"/>
        <w:gridCol w:w="175"/>
        <w:gridCol w:w="609"/>
        <w:gridCol w:w="90"/>
        <w:gridCol w:w="90"/>
        <w:gridCol w:w="170"/>
        <w:gridCol w:w="710"/>
        <w:gridCol w:w="90"/>
        <w:gridCol w:w="90"/>
        <w:gridCol w:w="221"/>
        <w:gridCol w:w="923"/>
        <w:gridCol w:w="135"/>
      </w:tblGrid>
      <w:tr>
        <w:trPr/>
        <w:tc>
          <w:tcPr>
            <w:tcW w:w="4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3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Assets: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DNA</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424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424</w:t>
            </w:r>
          </w:p>
        </w:tc>
        <w:tc>
          <w:tcPr>
            <w:tcW w:w="13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Entera</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248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248</w:t>
            </w:r>
          </w:p>
        </w:tc>
        <w:tc>
          <w:tcPr>
            <w:tcW w:w="13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Scilex</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2,769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2,769</w:t>
            </w:r>
          </w:p>
        </w:tc>
        <w:tc>
          <w:tcPr>
            <w:tcW w:w="13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Subsequent Penny Warrants (see note 4)</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2,772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2,772</w:t>
            </w:r>
          </w:p>
        </w:tc>
        <w:tc>
          <w:tcPr>
            <w:tcW w:w="13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Warrants Note B (see note 4)</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548</w:t>
            </w:r>
          </w:p>
        </w:tc>
        <w:tc>
          <w:tcPr>
            <w:tcW w:w="13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Tranche A Note (see note 4)</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13,714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13,714</w:t>
            </w:r>
          </w:p>
        </w:tc>
        <w:tc>
          <w:tcPr>
            <w:tcW w:w="13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Tranche B Note (see note 4)</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15,798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15,798</w:t>
            </w:r>
          </w:p>
        </w:tc>
        <w:tc>
          <w:tcPr>
            <w:tcW w:w="13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Royalty Purchase Agreement (see note 4)</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1,976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1,976</w:t>
            </w:r>
          </w:p>
        </w:tc>
        <w:tc>
          <w:tcPr>
            <w:tcW w:w="13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pPr>
            <w:r>
              <w:rPr/>
              <w:t>Profit Sharing Loan Agreement (see note 4)</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1,367</w:t>
            </w:r>
          </w:p>
        </w:tc>
        <w:tc>
          <w:tcPr>
            <w:tcW w:w="135" w:type="dxa"/>
            <w:tcBorders/>
            <w:shd w:fill="CCEEFF"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w:t>
            </w:r>
          </w:p>
        </w:tc>
        <w:tc>
          <w:tcPr>
            <w:tcW w:w="609" w:type="dxa"/>
            <w:tcBorders>
              <w:bottom w:val="single" w:sz="12" w:space="0" w:color="000000"/>
            </w:tcBorders>
            <w:tcMar>
              <w:bottom w:w="28" w:type="dxa"/>
            </w:tcMar>
            <w:vAlign w:val="center"/>
          </w:tcPr>
          <w:p>
            <w:pPr>
              <w:pStyle w:val="TableContents"/>
              <w:bidi w:val="0"/>
              <w:spacing w:before="0" w:after="283"/>
              <w:jc w:val="right"/>
              <w:rPr/>
            </w:pPr>
            <w:r>
              <w:rPr/>
              <w:t>3,441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w:t>
            </w:r>
          </w:p>
        </w:tc>
        <w:tc>
          <w:tcPr>
            <w:tcW w:w="609" w:type="dxa"/>
            <w:tcBorders>
              <w:bottom w:val="single" w:sz="12" w:space="0" w:color="000000"/>
            </w:tcBorders>
            <w:tcMar>
              <w:bottom w:w="28" w:type="dxa"/>
            </w:tcMar>
            <w:vAlign w:val="center"/>
          </w:tcPr>
          <w:p>
            <w:pPr>
              <w:pStyle w:val="TableContents"/>
              <w:bidi w:val="0"/>
              <w:spacing w:before="0" w:after="283"/>
              <w:jc w:val="right"/>
              <w:rPr/>
            </w:pPr>
            <w:r>
              <w:rPr/>
              <w:t>2,772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33,403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single" w:sz="12" w:space="0" w:color="000000"/>
            </w:tcBorders>
            <w:tcMar>
              <w:bottom w:w="28" w:type="dxa"/>
            </w:tcMar>
            <w:vAlign w:val="center"/>
          </w:tcPr>
          <w:p>
            <w:pPr>
              <w:pStyle w:val="TableContents"/>
              <w:bidi w:val="0"/>
              <w:spacing w:before="0" w:after="283"/>
              <w:jc w:val="left"/>
              <w:rPr/>
            </w:pPr>
            <w:r>
              <w:rPr/>
              <w:t>$</w:t>
            </w:r>
          </w:p>
        </w:tc>
        <w:tc>
          <w:tcPr>
            <w:tcW w:w="923" w:type="dxa"/>
            <w:tcBorders>
              <w:bottom w:val="single" w:sz="12" w:space="0" w:color="000000"/>
            </w:tcBorders>
            <w:tcMar>
              <w:bottom w:w="28" w:type="dxa"/>
            </w:tcMar>
            <w:vAlign w:val="center"/>
          </w:tcPr>
          <w:p>
            <w:pPr>
              <w:pStyle w:val="TableContents"/>
              <w:bidi w:val="0"/>
              <w:spacing w:before="0" w:after="283"/>
              <w:jc w:val="right"/>
              <w:rPr/>
            </w:pPr>
            <w:r>
              <w:rPr/>
              <w:t>39,616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carrying amounts of cash equivalents, short-term deposits, and accounts payable approximate their fair values due to the short-term maturities of these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funded in respect of employee rights are stated at cash surrender value which approximates its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05"/>
        <w:gridCol w:w="155"/>
        <w:gridCol w:w="192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9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Marketable securities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the investments in equity securities of IC Hotels (“DNA”), Entera Bio Ltd. (“Entera”), Nano Dimension Ltd (“Nano”) and Pelthos Therapeutics Inc. (“Pelthos”) at fair value, with changes in fair value recognized in earnings. The Company intends to exercise the investments in DNA, Entera and Pelthos during 2026 and has classified these marketable securities as short-term accordingly.</w:t>
      </w:r>
    </w:p>
    <w:p>
      <w:pPr>
        <w:pStyle w:val="TextBody"/>
        <w:bidi w:val="0"/>
        <w:spacing w:before="0" w:after="0"/>
        <w:ind w:left="72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105"/>
        <w:gridCol w:w="155"/>
        <w:gridCol w:w="339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w:t>
            </w:r>
          </w:p>
        </w:tc>
        <w:tc>
          <w:tcPr>
            <w:tcW w:w="33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non-marketable equity securities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invested in non-marketable equity securities through an investment in a privately held company. This equity investment does not have a readily determinable fair value. The investment is measured under the measurement alternative in Accounting Standards Codification (“ASC”) 321 “Investments – Equity Securities” to the extent such an investment is not subject to consolidation or the equity method. Under the measurement alternative, this equity investment is carried at cost, less any impairment, adjusted for changes resulting from observable price changes in transactions for an identical or similar investment of the same issuer. The investment would be impaired in accordance with the provisions of ASC 820 “Fair Value Measurement” if, based on a qualitative assessment of impairment indicators, the fair value of the investment is less than its carrying amount. If considered impaired, the difference between the carrying amount and fair value would be recorded in the consolidated statement of comprehensive income (loss). see note 10.</w:t>
      </w:r>
    </w:p>
    <w:p>
      <w:pPr>
        <w:pStyle w:val="TextBody"/>
        <w:bidi w:val="0"/>
        <w:spacing w:before="0" w:after="0"/>
        <w:ind w:left="720" w:right="0" w:hanging="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5"/>
        <w:gridCol w:w="200"/>
        <w:gridCol w:w="3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w:t>
            </w:r>
          </w:p>
        </w:tc>
        <w:tc>
          <w:tcPr>
            <w:tcW w:w="30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Investments measured at fair value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invested in the Tranche A Note (as defined in note 4), Tranche B Note (as defined in note 4) (collectively the “Notes”), Loan to an equity method investee, Convertible note, Investment in Alpha Tau and Royalty Purchase Agreement issued by Scilex, for which it has elected the fair value option. Under the Fair Value Option Subsections of ASC Subtopic 825-10, Financial Instruments – Overall, the Company has the irrevocable option to report financial assets at fair value on an instrument-by-instrument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Scilex also issued to the Company the Note A Transferred Warrants and Note B Warrants (as defined in note 4) that meet the definition of a derivative under ASC 815 “Derivatives and Hedging”. Therefore, such warrants will be measured at fair value initially and at every reporting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loan agreement to finance real estate projects. The Company decided to designate the Profit Sharing Loan Agreement (as define in note 4) and the Hapisga (as define in note 7) as a whole under the Fair-Value option in accordance with ASC Topic 825 “Financial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are recorded under financial income (expenses), net.</w:t>
      </w:r>
    </w:p>
    <w:p>
      <w:pPr>
        <w:pStyle w:val="TextBody"/>
        <w:bidi w:val="0"/>
        <w:spacing w:before="0" w:after="0"/>
        <w:ind w:left="0" w:right="0" w:hanging="0"/>
        <w:jc w:val="both"/>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105"/>
        <w:gridCol w:w="155"/>
        <w:gridCol w:w="251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w:t>
            </w:r>
          </w:p>
        </w:tc>
        <w:tc>
          <w:tcPr>
            <w:tcW w:w="25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Concentration of credit risks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subject the Company to credit risk consist primarily of cash and cash equivalents, short and long-term deposits, which are deposited in major financial institutions, Profit Sharing Loan Agreement, Hapisga, Royalty Purchase Agreement, convertible note and the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of the opinion that the credit risk in respect of these balances is remote, except for the Profit Sharing Loan Agreement, Hapisga, Royalty Purchase Agreement, convertible note and the Notes for which the Company is of the opinion there is a credit risk, which is reflected in its fair value measurement (for further details, see note 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F-11</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05"/>
        <w:gridCol w:w="260"/>
        <w:gridCol w:w="1205"/>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w:t>
            </w:r>
          </w:p>
        </w:tc>
        <w:tc>
          <w:tcPr>
            <w:tcW w:w="12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72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05"/>
        <w:gridCol w:w="200"/>
        <w:gridCol w:w="12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taxes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determined utilizing the asset and liability method based on the estimated future tax effects of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full valuation allowance against the deferred tax assets of certain entities, as management has determined that it is not more likely than not that such deferred tax assets will be realized. For further details see note 18.</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that would apply in the event of disposal of investments in the Israeli subsidiary have not been taken into account in computing deferred taxes, as it is the Company’s intention to hold this investment, not to realize it.</w:t>
      </w:r>
    </w:p>
    <w:p>
      <w:pPr>
        <w:pStyle w:val="TextBody"/>
        <w:bidi w:val="0"/>
        <w:spacing w:before="0" w:after="0"/>
        <w:ind w:left="180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05"/>
        <w:gridCol w:w="200"/>
        <w:gridCol w:w="22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Uncertainty in income tax</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a two-step approach to recognizing and measuring uncertain tax positions. The first step is to evaluate the tax position for recognition by determining if the weight of available evidence indicates that it is more likely than not that the position will be sustained on audit. The second step is to measure the tax benefit as the largest amount that is more than 50% likely of being realized upon ultimate settlement. Such liabilities are classified as long-term, unless the liability is expected to be resolved within 12 months from the balance sheet date. The Company’s policy is to include interest and penalties related to unrecognized tax benefits within income tax expenses.</w:t>
      </w:r>
    </w:p>
    <w:p>
      <w:pPr>
        <w:pStyle w:val="TextBody"/>
        <w:bidi w:val="0"/>
        <w:spacing w:before="0" w:after="0"/>
        <w:ind w:left="0" w:right="0" w:hanging="0"/>
        <w:jc w:val="left"/>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68"/>
        <w:gridCol w:w="200"/>
        <w:gridCol w:w="18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w:t>
            </w:r>
          </w:p>
        </w:tc>
        <w:tc>
          <w:tcPr>
            <w:tcW w:w="1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HTIT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30, 2015, the Company entered into a Technology License Agreement, with HTIT and on December 21, 2015, the parties entered into an Amended and Restated Technology License Agreement that was further amended by the parties on June 3, 2016 and July 24, 2016 (the “HTIT License Agreement”).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 aggregate amount of $22,382 was allocated to the HTIT License Agreement, all of which were received through December 31, 2024. Through December 31, 2024, the Company recognized revenue associated with this agreement in the aggregate amount of $20,382, and deferred the remaining amount of $2,000, which was presented as long-term deferred revenues on the consolidated balance sheet as of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2025, the Company recognized revenue associated with the HTIT License Agreement in an amount of $2,000 following HTIT’s waiver of any claims and demands against the Company, which was signed in connection with the JV Agreement. As of December 31, 2025, all revenue associated with the contract was fully recognized.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105"/>
        <w:gridCol w:w="200"/>
        <w:gridCol w:w="12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w:t>
            </w:r>
          </w:p>
        </w:tc>
        <w:tc>
          <w:tcPr>
            <w:tcW w:w="12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income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income from its Service Agreement with Alpha Tau for investor relations and public relations on a straight-line basis. Under the Service Agreement, the Company received non-cash consideration of Alpha Tau Warrants (as defined below) to purchase up to 3,237,000 shares, measured at their issuance date fair value of $2,727 and entitled to receive six semi-annual payments of $500, totaling $3,000. The income is presented under the “Other income, net” line item (net of related expenses), since the Company does not view investor relations services to be output of its ordinary activities. In addition, changes in the fair value of the Alpha Tau Warrants are presented under “Financial Income (loss), net”.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the Company issued invoices in an aggregate amount of $997. Of this amount, $553 was recognized as income and recorded under “Other income, net,” while the remaining $444 was deferred and presented under “Deferred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recorded an income of $549 related to the straight-line recognition of the Alpha Tau Warrants under “Other income, net”. For further details, see Note 8.</w:t>
      </w:r>
    </w:p>
    <w:p>
      <w:pPr>
        <w:pStyle w:val="TextBody"/>
        <w:bidi w:val="0"/>
        <w:spacing w:before="0" w:after="0"/>
        <w:ind w:left="72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68"/>
        <w:gridCol w:w="200"/>
        <w:gridCol w:w="23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w:t>
            </w:r>
          </w:p>
        </w:tc>
        <w:tc>
          <w:tcPr>
            <w:tcW w:w="2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Research and development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include costs directly attributable to the conduct of research and development programs, including the cost of salaries, stock-based compensation, employee benefits, the cost of supplies, the cost of services provided by outside contractors, including services related to the Company’s clinical trials, clinical trial expenses and the full cost of manufacturing drug for use in research and preclinical development. All costs associated with research and development are expensed as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 costs are a significant component of research and development expenses and include costs associated with third-party contractors. The Company outsources a substantial portion of its clinical trial activities, utilizing external entities such as Clinical Research Organizations (“CROs”), independent clinical investigators, and other third-party service providers to assist the Company with the execution of its clinical trials. For each clinical trial that the Company conducts, clinical trial costs are expensed immediately.</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200"/>
        <w:gridCol w:w="23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23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awards granted to employees are accounted for using the grant date fair value method. The grant date fair value is determined as follows: for stock options with an exercise price and only service conditions, using the Black Scholes pricing model; for stock options and performance stock units (“PSUs”) with market conditions using a Monte Carlo model; and for restricted stock units (“RSUs”) with service conditions and PSUs with performance conditions, based on the grant date share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F-13</w:t>
      </w:r>
    </w:p>
    <w:p>
      <w:pPr>
        <w:pStyle w:val="TextBody"/>
        <w:bidi w:val="0"/>
        <w:spacing w:before="0" w:after="0"/>
        <w:jc w:val="center"/>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105"/>
        <w:gridCol w:w="200"/>
        <w:gridCol w:w="33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w:t>
            </w:r>
          </w:p>
        </w:tc>
        <w:tc>
          <w:tcPr>
            <w:tcW w:w="3365" w:type="dxa"/>
            <w:tcBorders/>
            <w:vAlign w:val="center"/>
          </w:tcPr>
          <w:p>
            <w:pPr>
              <w:pStyle w:val="TableContents"/>
              <w:bidi w:val="0"/>
              <w:spacing w:before="0" w:after="283"/>
              <w:jc w:val="both"/>
              <w:rPr/>
            </w:pPr>
            <w:r>
              <w:rPr>
                <w:rFonts w:ascii="Times New Roman;Times;Serif" w:hAnsi="Times New Roman;Times;Serif"/>
                <w:b/>
                <w:sz w:val="20"/>
              </w:rPr>
              <w:t xml:space="preserve">Stock-based compensation </w:t>
            </w:r>
            <w:r>
              <w:rPr>
                <w:rFonts w:ascii="Times New Roman;Times;Serif" w:hAnsi="Times New Roman;Times;Serif"/>
                <w:sz w:val="20"/>
              </w:rPr>
              <w:t>(continued)</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share based payment awards is recognized as an expense over the requisite service period. The expected term is the length of time until the expected dates of exercising the award and is estimated using the simplified method due to insufficient specific historical information of employees’ exercise behavior, unless the award includes a market condition, in which case the contractual term is used. The volatility is based on a historical volatility, by statistical analysis of the weekly share price for past periods. The Company elected to recognize compensation cost for awards granted to employees that have a graded vesting schedule using the accelerated method based on the multiple-option award approach. For awards with market conditions, compensation expense is not reversed if the market conditions are not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market condition associated with PSUs is satisfied earlier than originally expected, any remaining unrecognized compensation cost related to such awards is recognized immediately.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elects to account for forfeitures as they occur.</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05"/>
        <w:gridCol w:w="185"/>
        <w:gridCol w:w="35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w:t>
            </w:r>
          </w:p>
        </w:tc>
        <w:tc>
          <w:tcPr>
            <w:tcW w:w="35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(loss) per share of common stock</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common stock is computed by dividing the net income (loss) attributable to stockholders for the period by the weighted average number of shares of common stock outstanding for each period, including vested restricted stock units (“RSUs”). The net income available to common stockholders is reduced by dividend equivalents declared on unvested RSUs, as such awards are not considered participating securities and are excluded from the basic share count.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diluted income (loss) per common stock calculation for the year ended December 31, 2025, dividend equivalents attributable to unvested RSUs were added back to the numerator only when the RSUs referred to are dilutive. The weighted average number of shares outstanding during the period is adjusted for the potential dilution that could occur in connection with employee share-based payment, using the treasury stock method. As the Company had a net loss for the year ended December 31, 2024, all potentially dilutive common stock were considered antidilutive and therefore excluded from the calculation of diluted weighted average shares outstanding. For further details, see Note 16.</w:t>
      </w:r>
    </w:p>
    <w:p>
      <w:pPr>
        <w:pStyle w:val="TextBody"/>
        <w:bidi w:val="0"/>
        <w:spacing w:before="0" w:after="0"/>
        <w:ind w:left="720" w:right="0" w:hanging="0"/>
        <w:jc w:val="both"/>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105"/>
        <w:gridCol w:w="170"/>
        <w:gridCol w:w="2180"/>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t>
            </w:r>
          </w:p>
        </w:tc>
        <w:tc>
          <w:tcPr>
            <w:tcW w:w="2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Alpha Tau</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an investment in Alpha Tau granting it significant influence over the investee. In determining whether the Company has significant influence, the Company considered not only whether its ownership is equal to or greater than 20%, but less than or equal to 50%, but also whether it has a board seat and whether it participates in the policy-making process of the investee, among other criteria.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F-14</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170"/>
        <w:gridCol w:w="3230"/>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t>
            </w:r>
          </w:p>
        </w:tc>
        <w:tc>
          <w:tcPr>
            <w:tcW w:w="3230" w:type="dxa"/>
            <w:tcBorders/>
            <w:vAlign w:val="center"/>
          </w:tcPr>
          <w:p>
            <w:pPr>
              <w:pStyle w:val="TableContents"/>
              <w:bidi w:val="0"/>
              <w:spacing w:before="0" w:after="283"/>
              <w:jc w:val="both"/>
              <w:rPr/>
            </w:pPr>
            <w:r>
              <w:rPr>
                <w:rFonts w:ascii="Times New Roman;Times;Serif" w:hAnsi="Times New Roman;Times;Serif"/>
                <w:b/>
                <w:sz w:val="20"/>
              </w:rPr>
              <w:t xml:space="preserve">Investment in Alpha Tau </w:t>
            </w:r>
            <w:r>
              <w:rPr>
                <w:rFonts w:ascii="Times New Roman;Times;Serif" w:hAnsi="Times New Roman;Times;Serif"/>
                <w:sz w:val="20"/>
              </w:rPr>
              <w:t>(continued)</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granting significant influence are generally accounted for under the equity method. For the investment in Alpha Tau, the Company has elected the fair value option under ASC 825-10. The fair value option has been elected as the Company believes it best reflects the underlying economics of the investment in Alpha Tau. As a result, the Company recognizes the change in the fair value in “Financial income (loss), net”.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financial information for Alpha Tau, as determined in accordance with Rule 8-03(b)(3) of Regulation S-X is included in note 8.</w:t>
      </w:r>
    </w:p>
    <w:p>
      <w:pPr>
        <w:pStyle w:val="TextBody"/>
        <w:bidi w:val="0"/>
        <w:spacing w:before="0" w:after="0"/>
        <w:ind w:left="720" w:right="0" w:hanging="0"/>
        <w:jc w:val="both"/>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105"/>
        <w:gridCol w:w="155"/>
        <w:gridCol w:w="66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real estate and cars for use in its operations, which are classified as operating leases. In addition to rent, the leases may require the Company to pay directly for fees, insurance, maintenance and other operating expenses.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if an arrangement is a lease at inception. Operating leases are included in operating lease right of use assets and operating lease liabilities in the consolidated balance sheets. Right of use (“ROU”) assets represent the Company’s right to use an underlying asset for the lease term and lease liabilities represent the Company’s obligation to make lease payments arising from the lease. Operating 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and liabilities are recognized at the commencement date based on the present value of lease payments over the lease term. The Company uses its incremental borrowing rate based on the information available at the commencement date to determine the present value of the lease payments. Lease expenses are recognized on a straight-line basis over the lease term.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to not separate lease and non-lease components for all of its 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terms will include options to extend or terminate the lease when it is reasonably certain that the Company will either exercise or not exercise the option to renew or terminate the lease.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 agreements have remaining lease terms ranging from 1 year to 5 years. Some of these agreements include options to extend the leases for up to an additional 5 years and some include options to terminate the leases immediately. For further details, see Note 13.</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F-15</w:t>
      </w:r>
    </w:p>
    <w:p>
      <w:pPr>
        <w:pStyle w:val="TextBody"/>
        <w:bidi w:val="0"/>
        <w:spacing w:before="0" w:after="0"/>
        <w:jc w:val="center"/>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144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00"/>
        <w:gridCol w:w="2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w:t>
            </w:r>
          </w:p>
        </w:tc>
        <w:tc>
          <w:tcPr>
            <w:tcW w:w="28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New accounting pronouncements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The Company adopted this standard on a prospective basis. For further details, see note 18.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 well as disclosures about selling expenses. ASU 2024-03 is effective for years beginning after December 15, 2026, and interim periods within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reasonable and supportable forecast as part of estimating expected credit losses, an entity may assume that current conditions as of the balance sheet date do not change for the remaining life of the asset. The ASU is effective for annual reporting periods beginning after December 15, 2025 and interim reporting within those annual reporting periods. Early adoption is permitted in both interim and annual reporting periods. The Company is evaluating the impact of ASU 2025-05 on its consolidated financial statements if it elects to apply the practical expedient.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No. 2025-07 (“ASU 2025-07”), Derivatives and Hedging (Topic 815) and Revenue from Contracts with Customers (Topic 606). The guidance refines the scope of Topic 815 by clarifying which contracts are subject to derivative accounting and expand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amendments in ASU 2025-07 are effective for annual periods beginning after December 15, 2026, and interim reporting periods within those annual reporting periods. Early adoption is permitted. The amendments may be applied prospectively or on a modified retrospective basis. The Company is currently evaluating the potential impact of this guidance on its consolidated financial statements.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F-16</w:t>
      </w:r>
    </w:p>
    <w:p>
      <w:pPr>
        <w:pStyle w:val="TextBody"/>
        <w:bidi w:val="0"/>
        <w:spacing w:before="0" w:after="0"/>
        <w:jc w:val="center"/>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SHORT-TERM DEPOSITS: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3"/>
        <w:gridCol w:w="9123"/>
        <w:gridCol w:w="639"/>
      </w:tblGrid>
      <w:tr>
        <w:trPr/>
        <w:tc>
          <w:tcPr>
            <w:tcW w:w="443" w:type="dxa"/>
            <w:tcBorders/>
            <w:vAlign w:val="center"/>
          </w:tcPr>
          <w:p>
            <w:pPr>
              <w:pStyle w:val="TableContents"/>
              <w:bidi w:val="0"/>
              <w:spacing w:before="0" w:after="283"/>
              <w:jc w:val="left"/>
              <w:rPr>
                <w:sz w:val="4"/>
                <w:szCs w:val="4"/>
              </w:rPr>
            </w:pPr>
            <w:r>
              <w:rPr>
                <w:sz w:val="4"/>
                <w:szCs w:val="4"/>
              </w:rPr>
            </w:r>
          </w:p>
        </w:tc>
        <w:tc>
          <w:tcPr>
            <w:tcW w:w="9123" w:type="dxa"/>
            <w:tcBorders/>
            <w:vAlign w:val="center"/>
          </w:tcPr>
          <w:p>
            <w:pPr>
              <w:pStyle w:val="TableContents"/>
              <w:bidi w:val="0"/>
              <w:spacing w:before="0" w:after="283"/>
              <w:jc w:val="left"/>
              <w:rPr/>
            </w:pPr>
            <w:r>
              <w:rPr>
                <w:b/>
              </w:rPr>
              <w:t>Composition</w:t>
            </w:r>
            <w:r>
              <w:rPr/>
              <w:t>:</w:t>
            </w:r>
          </w:p>
        </w:tc>
        <w:tc>
          <w:tcPr>
            <w:tcW w:w="6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caps w:val="false"/>
          <w:smallCaps w:val="false"/>
        </w:rPr>
      </w:pPr>
      <w:r>
        <w:rPr>
          <w:caps w:val="false"/>
          <w:smallCaps w:val="false"/>
        </w:rPr>
        <w:t> </w:t>
      </w:r>
    </w:p>
    <w:tbl>
      <w:tblPr>
        <w:tblW w:w="6875" w:type="dxa"/>
        <w:jc w:val="left"/>
        <w:tblInd w:w="0" w:type="dxa"/>
        <w:tblLayout w:type="fixed"/>
        <w:tblCellMar>
          <w:top w:w="0" w:type="dxa"/>
          <w:left w:w="0" w:type="dxa"/>
          <w:bottom w:w="0" w:type="dxa"/>
          <w:right w:w="0" w:type="dxa"/>
        </w:tblCellMar>
      </w:tblPr>
      <w:tblGrid>
        <w:gridCol w:w="1490"/>
        <w:gridCol w:w="90"/>
        <w:gridCol w:w="203"/>
        <w:gridCol w:w="1062"/>
        <w:gridCol w:w="245"/>
        <w:gridCol w:w="90"/>
        <w:gridCol w:w="100"/>
        <w:gridCol w:w="790"/>
        <w:gridCol w:w="90"/>
        <w:gridCol w:w="90"/>
        <w:gridCol w:w="203"/>
        <w:gridCol w:w="1062"/>
        <w:gridCol w:w="245"/>
        <w:gridCol w:w="90"/>
        <w:gridCol w:w="100"/>
        <w:gridCol w:w="790"/>
        <w:gridCol w:w="135"/>
      </w:tblGrid>
      <w:tr>
        <w:trPr/>
        <w:tc>
          <w:tcPr>
            <w:tcW w:w="14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51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4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Annual</w:t>
              <w:br/>
              <w:t>interest rate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Annual</w:t>
              <w:br/>
              <w:t>interest rate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13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both"/>
              <w:rPr/>
            </w:pPr>
            <w:r>
              <w:rPr/>
              <w:t>Dollar deposits</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4.15-5.10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10,979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5.65-5.75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double" w:sz="10" w:space="0" w:color="000000"/>
            </w:tcBorders>
            <w:shd w:fill="CCEEFF" w:val="clear"/>
            <w:tcMar>
              <w:bottom w:w="28" w:type="dxa"/>
            </w:tcMar>
            <w:vAlign w:val="center"/>
          </w:tcPr>
          <w:p>
            <w:pPr>
              <w:pStyle w:val="TableContents"/>
              <w:bidi w:val="0"/>
              <w:spacing w:before="0" w:after="283"/>
              <w:jc w:val="right"/>
              <w:rPr/>
            </w:pPr>
            <w:r>
              <w:rPr/>
              <w:t>55,281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MARKETABLE SECURITIES:</w:t>
      </w:r>
    </w:p>
    <w:p>
      <w:pPr>
        <w:pStyle w:val="TextBody"/>
        <w:bidi w:val="0"/>
        <w:spacing w:before="0" w:after="0"/>
        <w:ind w:left="0" w:right="0" w:hanging="0"/>
        <w:jc w:val="left"/>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105"/>
        <w:gridCol w:w="200"/>
        <w:gridCol w:w="12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2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Composition: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include investments in equity securities of DNA, Entera, Scilex, Nano and Pelthos.</w:t>
      </w:r>
    </w:p>
    <w:p>
      <w:pPr>
        <w:pStyle w:val="TextBody"/>
        <w:bidi w:val="0"/>
        <w:spacing w:before="0" w:after="0"/>
        <w:ind w:left="72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045"/>
        <w:gridCol w:w="90"/>
        <w:gridCol w:w="170"/>
        <w:gridCol w:w="590"/>
        <w:gridCol w:w="90"/>
        <w:gridCol w:w="90"/>
        <w:gridCol w:w="170"/>
        <w:gridCol w:w="590"/>
        <w:gridCol w:w="135"/>
      </w:tblGrid>
      <w:tr>
        <w:trPr/>
        <w:tc>
          <w:tcPr>
            <w:tcW w:w="20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b/>
              </w:rPr>
            </w:pPr>
            <w:r>
              <w:rPr>
                <w:b/>
              </w:rPr>
              <w:t>Short-term:</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DNA (see b below)</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424</w:t>
            </w:r>
          </w:p>
        </w:tc>
        <w:tc>
          <w:tcPr>
            <w:tcW w:w="13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Entera (see c below)</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248</w:t>
            </w:r>
          </w:p>
        </w:tc>
        <w:tc>
          <w:tcPr>
            <w:tcW w:w="13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Scilex (see d below)</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2,769</w:t>
            </w:r>
          </w:p>
        </w:tc>
        <w:tc>
          <w:tcPr>
            <w:tcW w:w="135" w:type="dxa"/>
            <w:tcBorders/>
            <w:shd w:fill="CCEEFF" w:val="cle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Pelthos (see f below)</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4,650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5,417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3,441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650" w:type="dxa"/>
        <w:jc w:val="left"/>
        <w:tblInd w:w="0" w:type="dxa"/>
        <w:tblLayout w:type="fixed"/>
        <w:tblCellMar>
          <w:top w:w="0" w:type="dxa"/>
          <w:left w:w="0" w:type="dxa"/>
          <w:bottom w:w="0" w:type="dxa"/>
          <w:right w:w="0" w:type="dxa"/>
        </w:tblCellMar>
      </w:tblPr>
      <w:tblGrid>
        <w:gridCol w:w="1910"/>
        <w:gridCol w:w="90"/>
        <w:gridCol w:w="170"/>
        <w:gridCol w:w="590"/>
        <w:gridCol w:w="90"/>
        <w:gridCol w:w="90"/>
        <w:gridCol w:w="90"/>
        <w:gridCol w:w="485"/>
        <w:gridCol w:w="135"/>
      </w:tblGrid>
      <w:tr>
        <w:trPr/>
        <w:tc>
          <w:tcPr>
            <w:tcW w:w="1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b/>
              </w:rPr>
            </w:pPr>
            <w:r>
              <w:rPr>
                <w:b/>
              </w:rPr>
              <w:t>Long-term:</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283"/>
              <w:jc w:val="left"/>
              <w:rPr/>
            </w:pPr>
            <w:r>
              <w:rPr/>
              <w:t>Nano (see e below)</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0"/>
              <w:jc w:val="right"/>
              <w:rPr/>
            </w:pPr>
            <w:r>
              <w:rPr/>
              <w:t>      </w:t>
            </w:r>
            <w:r>
              <w:rPr/>
              <w:t>-</w:t>
            </w:r>
          </w:p>
        </w:tc>
        <w:tc>
          <w:tcPr>
            <w:tcW w:w="135"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8,371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485"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105"/>
        <w:gridCol w:w="200"/>
        <w:gridCol w:w="5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5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DNA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DNA’s ordinary shares are traded on the Tel Aviv Stock Exchange. The fair value of those securities is measured at the quoted prices of the securities on the measurement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did not sell any of DNA’s ordinary shares. The Company recognized an unrealized gain on its investment in DNA of $116 in the consolidated statement of comprehensive income (loss) for the year ended December 31, 2025. As of December 31, 2025, the Company owns approximately 0.20% of DNA’s outstanding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F-17</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 MARKETABLE SECURITIES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105"/>
        <w:gridCol w:w="185"/>
        <w:gridCol w:w="680"/>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6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Entera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ordinary shares have been traded on the Nasdaq Capital Market since June 28, 2018. The Company measures the investment at fair value from such date, since it has a readily determinable fair value. The fair value of those securities is measured at the quoted prices of the securities on the measurement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 Company did not sell any of Entera’s ordinary shares. The Company recognized an unrealized gain on its investment in Entera of $(21) in the consolidated statement of comprehensive income (loss) for the year ended December 31, 2025. As of December 31, 2025, the Company owns approximately 0.26% of Entera’s outstanding ordinary shares.</w:t>
      </w:r>
    </w:p>
    <w:p>
      <w:pPr>
        <w:pStyle w:val="TextBody"/>
        <w:bidi w:val="0"/>
        <w:spacing w:before="0" w:after="0"/>
        <w:ind w:left="720" w:right="0" w:hanging="0"/>
        <w:jc w:val="both"/>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05"/>
        <w:gridCol w:w="200"/>
        <w:gridCol w:w="6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Scilex</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Scilex common stock are traded on the Nasdaq Capital Market. The fair value of those securities is measured at the quoted prices of the securities on the measurement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December 31, 2025, the Company sold all shares of Scilex common stock for total gross proceeds of $2,865. Following the sale, the Company no longer holds any shares of Scilex common stock.</w:t>
      </w:r>
    </w:p>
    <w:p>
      <w:pPr>
        <w:pStyle w:val="TextBody"/>
        <w:bidi w:val="0"/>
        <w:spacing w:before="0" w:after="0"/>
        <w:ind w:left="720" w:right="0" w:hanging="0"/>
        <w:jc w:val="both"/>
        <w:rPr>
          <w:caps w:val="false"/>
          <w:smallCaps w:val="false"/>
        </w:rPr>
      </w:pPr>
      <w:r>
        <w:rPr>
          <w:caps w:val="false"/>
          <w:smallCaps w:val="false"/>
        </w:rPr>
        <w:t> </w:t>
      </w:r>
    </w:p>
    <w:tbl>
      <w:tblPr>
        <w:tblW w:w="835" w:type="dxa"/>
        <w:jc w:val="left"/>
        <w:tblInd w:w="0" w:type="dxa"/>
        <w:tblLayout w:type="fixed"/>
        <w:tblCellMar>
          <w:top w:w="0" w:type="dxa"/>
          <w:left w:w="0" w:type="dxa"/>
          <w:bottom w:w="0" w:type="dxa"/>
          <w:right w:w="0" w:type="dxa"/>
        </w:tblCellMar>
      </w:tblPr>
      <w:tblGrid>
        <w:gridCol w:w="105"/>
        <w:gridCol w:w="185"/>
        <w:gridCol w:w="54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5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Nano</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2025, the Company purchased ordinary shares of Nano Dimension Ltd (“Nano”), through December 31, 2025, the Company purchased 5,436,791 ordinary shares for an aggregate purchase price of $8,501. The aggregate purchase price excludes transaction fees equal to 1% of the number of shares purchased in each transaction, amounting to $54, which were expensed as incurred. The fair value of those securities is measured at the quoted prices of the securities on the measurement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an unrealized gain on its investment in Nano of $(130) in the consolidated statement of comprehensive income (loss) for the year ended December 31, 2025. As of December 31, 2025, the Company owns approximately 2.58% of Nano’s outstanding ordinary shares. For more information, see note 21.</w:t>
      </w:r>
    </w:p>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105"/>
        <w:gridCol w:w="155"/>
        <w:gridCol w:w="71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Pelthos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the Company entered into a securities purchase agreement with Pelthos Therapeutics Inc. (“Pelthos”), pursuant to which the Company invested $1,500 and acquired 150,000 shares of Pelthos common stock. The Company recognized an unrealized gain on its investment in Pelthos of $3,150 in the consolidated statement of comprehensive income (loss) for the year ended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Pelthos common stock are traded on the Nasdaq Capital Market. The fair value of those securities is measured at the quoted prices of the securities on the measurement date. As of December 31, 2025, the Company owns approximately 4.9% of Pelthos’s outstanding common stock. For more information, see note 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F-18</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INVESTMENTS, AT FAIR VALUE: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Scilex Transaction and 2024 Refinancing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2025, Scilex effected a 1-for-35 reverse stock split of its issued and outstanding common stock (“Reverse Split”). As a result, every 35 shares of Scilex common stock were automatically reclassified into 1 share of common stock, with fractional shares rounded up to the nearest whole share. Unless otherwise indicated, all share numbers presented below reflect the effect of the Reverse Split. The 6,500,000 Subsequent Penny Warrants (as defined below) that were outstanding as of the Reverse Split date, were not subject to adjustment under the Reverse Split.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Scilex Transaction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2023, the Company entered into and consummated the transactions (collectively, the “2023 Scilex Transaction”) contemplated by a securities purchase agreement with Scilex, pursuant to which Scilex issued to the Company:</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promissory note (the “Tranche A Note”), with a principal amount of $101,875, initially maturing on March 21, 2025 and bearing interest of SOFR plus 8.5%, payable in-kind. Scheduled principal payments were due quarterly from December 21, 2023, through December 21, 2024, with the remaining balance due on March 21, 2025. The maturity was subsequently extended to December 31, 2025, in exchange for 92,858 shares of Scilex common stock. An exit fee of $3,056 became payable when the note was not repaid by March 21, 2024. Following the Option Agreement (as defined below), the maturity was subsequently extended to March 31,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Scilex had repaid $69,200 of the amount due under the Tranche A Note and refinanced $25,000 as part of the 2024 Refinancing (as defined below). As of March 26, 2026, the outstanding principal balance of the Tranche A Note is $7,675 and accrued interest totaled $17,153.</w:t>
            </w:r>
          </w:p>
        </w:tc>
      </w:tr>
      <w:tr>
        <w:trPr/>
        <w:tc>
          <w:tcPr>
            <w:tcW w:w="10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Tranche A Note constitutes senior secured indebtedness of Scilex and is guaranteed by all existing or future formed, direct and indirect, domestic subsidiaries of Scilex and is secured by a first priority security interest and liens on all of the assets of Scilex, subject to customary and mutually agreed permitted liens and except for certain specified exemptions.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up to 128,572 shares of Scilex common stock with an exercise price of $0.35 per share (the “Closing Penny Warrants”) and additional warrants (the “Subsequent Penny Warrants”) to purchase up to 57,143 shares of Scilex common stock (after giving effect to the Reverse Split) and warrants to purchase up to 6,500,000 shares of Scilex common stock (which such amount was not adjusted for the Reverse Split pursuant to the terms of such warrants) with an exercise price of $0.35 and $0.01 per share, respectively.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the Company exercised 128,572 Closing Penny Warrants and 57,143 Subsequent Penny Warrants.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2025, the Company entered into an option agreement (the “Option Agreement”) with Scilex, granting Scilex the right to repurchase the Company remaining 6,500,000 Subsequent Penny Warrants for $27,000 plus a $1,500 fee. In two separate installments on September 30, 2025 and December 30, 2025, Scilex exercised its right under the Option Agreement and repurchased all of the subject warrants for total proceeds to the Company of $ 28,500 (including the option fee). As of December 31, 2025, the Company does not hold any Subsequent Penny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F-19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Scilex Transaction (continued)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Transferred warrants (the “Transferred Warrants”) to purchase 114,286 shares of Scilex common stock with an exercise price of $402.50 per share, fully exercisable and expiring on November 10, 2027. On September 20, 2024, the Company sold the Transferred Warrants for $300. As of December 31, 2025, the Company no longer held any Transferred Warrants.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selected the fair value option for the Tranche A Note and the Penny Warrants in order to reduce operational complexity of bifurcating embedded derivatives. Changes in value are recorded under financial income (loss), net and include interest income on the Tranche A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was performed based on several scenarios. Each scenario took into consideration the present value of the Tranche A Note’s cash flows and the Warrants’ value. The total value of the 2023 Scilex Transaction (and of each of its components) was valued on a weighted average of the different scenarios.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discount rate of the Tranche A Note was based on the B- rating zero curve in addition to a risk premium which takes into account the credit risk of Scilex and ranged between 111.86 % to 111.78%.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composition of the Tranche A Note:</w:t>
      </w:r>
    </w:p>
    <w:p>
      <w:pPr>
        <w:pStyle w:val="TextBody"/>
        <w:bidi w:val="0"/>
        <w:spacing w:before="0" w:after="0"/>
        <w:ind w:left="720" w:right="0" w:hanging="0"/>
        <w:jc w:val="both"/>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3005"/>
        <w:gridCol w:w="90"/>
        <w:gridCol w:w="279"/>
        <w:gridCol w:w="1166"/>
        <w:gridCol w:w="90"/>
        <w:gridCol w:w="90"/>
        <w:gridCol w:w="279"/>
        <w:gridCol w:w="1166"/>
        <w:gridCol w:w="135"/>
      </w:tblGrid>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b/>
              </w:rPr>
            </w:pPr>
            <w:r>
              <w:rPr>
                <w:b/>
              </w:rPr>
              <w:t>Tranche A Note</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23,063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13,714</w:t>
            </w:r>
          </w:p>
        </w:tc>
        <w:tc>
          <w:tcPr>
            <w:tcW w:w="135"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b/>
              </w:rPr>
            </w:pPr>
            <w:r>
              <w:rPr>
                <w:b/>
              </w:rPr>
              <w:t>Subsequent Penny Warrants</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 w:type="dxa"/>
            <w:tcBorders>
              <w:bottom w:val="single" w:sz="12" w:space="0" w:color="000000"/>
            </w:tcBorders>
            <w:tcMar>
              <w:bottom w:w="28" w:type="dxa"/>
            </w:tcMar>
            <w:vAlign w:val="center"/>
          </w:tcPr>
          <w:p>
            <w:pPr>
              <w:pStyle w:val="TableContents"/>
              <w:bidi w:val="0"/>
              <w:spacing w:before="0" w:after="283"/>
              <w:jc w:val="left"/>
              <w:rPr/>
            </w:pPr>
            <w:r>
              <w:rPr/>
              <w:t>$</w:t>
            </w:r>
          </w:p>
        </w:tc>
        <w:tc>
          <w:tcPr>
            <w:tcW w:w="1166" w:type="dxa"/>
            <w:tcBorders>
              <w:bottom w:val="single" w:sz="12" w:space="0" w:color="000000"/>
            </w:tcBorders>
            <w:tcMar>
              <w:bottom w:w="28" w:type="dxa"/>
            </w:tcMar>
            <w:vAlign w:val="center"/>
          </w:tcPr>
          <w:p>
            <w:pPr>
              <w:pStyle w:val="TableContents"/>
              <w:bidi w:val="0"/>
              <w:spacing w:before="0" w:after="283"/>
              <w:jc w:val="right"/>
              <w:rPr/>
            </w:pPr>
            <w:r>
              <w:rPr/>
              <w:t>2,772</w:t>
            </w:r>
          </w:p>
        </w:tc>
        <w:tc>
          <w:tcPr>
            <w:tcW w:w="13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23,063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10" w:space="0" w:color="000000"/>
            </w:tcBorders>
            <w:shd w:fill="CCEEFF" w:val="clear"/>
            <w:tcMar>
              <w:bottom w:w="28" w:type="dxa"/>
            </w:tcMar>
            <w:vAlign w:val="center"/>
          </w:tcPr>
          <w:p>
            <w:pPr>
              <w:pStyle w:val="TableContents"/>
              <w:bidi w:val="0"/>
              <w:spacing w:before="0" w:after="283"/>
              <w:jc w:val="right"/>
              <w:rPr/>
            </w:pPr>
            <w:r>
              <w:rPr/>
              <w:t>16,486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Tranche A Note is included under Investments at fair value, current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fair value of the Tranche A Note was less than the aggregate unpaid principal balance (which includes interest payable on maturity) by $1,765 and $8,114,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F-20</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Refinancing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the Company entered into the transactions (collectively, the “2024 Refinancing”) pursuant to which Scilex issued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 Convertible Notes SPA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securities purchase agreement (the “Convertible Notes SPA”) with the other Tranche Note B holders (together with the Company, the “Buyers”) and Scilex to refinance a portion of the Tranche A Note and pay off certain other indebtedness of Scilex. Pursuant to the Convertible Notes SPA, the Buyers purchased in a registered offering by Scilex (i) a new tranche B of senior secured convertible notes of Scilex in the aggregate principal amount of $50,000 (the “Tranche B Note”) repayable on a quarterly basis for 2 years, which Tranche B Note is convertible into shares of Scilex common stock and (ii) warrants to purchase up to 214,286 shares of Scilex common stock with an exercise price of $36.4 (the “Tranche B Warrants”). The Company purchased 50% of the Tranche B Note and the Tranche B Warrants, equal to an aggregate principal amount of $25,000 of the Tranche B Note and 107,143 Tranche B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Scilex received from the Company, in consideration of the Tranche B Note and the Tranche B Warrants issued to the Company, an exchange and reduction of the principal outstanding balance under the Tranche A Note of $22,500.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Scilex has repaid $9,875 of the principal amount outstanding under the Tranche B Note, leaving a remaining principal balance of $15,125 with accrued interest of $495. The Tranche B Note matures on October 8,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 Royalty Purchase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other Tranche Note B holders (together with the Company, the “RPA Purchasers”) entered into a Purchase and Sale Agreement (the “Royalty Purchase Agreement”) with Scilex and Scilex Pharmaceuticals Inc. (“Scilex Pharma”). Pursuant to the Royalty Purchase Agreement, the RPA Purchasers acquired the right to receive, in the aggregate, 8% of net sales worldwide for 10 years (the “Purchased Receivables”) with respect to ZTLido (lidocaine topical system) 1.8%, SP-103 (lidocaine topical system) 5.4%, and any related, improved, successor, replacement or varying dosage forms of the foregoing. The Company acquired the right to receive 50% of the Purchased Receivables and therefore holds the right to receive 4% royalties.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its interest in the Purchased Receivables, the Company exchanged and reduced $2,500 of the principal balance under the Tranche A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 ZTlido Rest of the World Binding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other institutional investors and Scilex entered into a binding term sheet (“ROW License Term Sheet”), regarding a license and development agreement, with respect to services, compositions, products, dosages and formulations comprising lidocaine, including without limitation, the product and any future product defined as a “Product” under Scilex Pharma’s existing (i) Product development agreement, dated as of May 11, 2011, with Oishi Koseido Co., Ltd. (“Oishi”), and Itochu Chemical Frontier Corporation (“Itochu”), as amended, and (ii) the associated commercial supply agreement, dated February 16, 2017, between Scilex, Oishi and Itochu,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F-21</w:t>
      </w:r>
    </w:p>
    <w:p>
      <w:pPr>
        <w:pStyle w:val="TextBody"/>
        <w:bidi w:val="0"/>
        <w:spacing w:before="0" w:after="0"/>
        <w:jc w:val="center"/>
        <w:rPr/>
      </w:pPr>
      <w:r>
        <w:rPr/>
        <w:t> </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Refinancing (continued)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such institutional investors hold this license through RoyaltyVest. See note 6 for additional information about RoyaltyVest.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institutional investors who are parties to the Convertible Notes SPA, Royalty Purchase Agreement and the ZTLido License Agreement are all inter-related.</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 Tranche B Note Consent</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and other Tranche B Note holders entered into deferral and consent agreements with Scilex (the “Tranche B Consent”), deferring Scilex’s first amortization payment under the Tranche B Note to October 8, 2026. In consideration, the Company received $877 ($500 of the principal amount and $377 of accrued interest), and 71,429 shares of Scilex common stock.</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Tranche B Consent and contingent upon certain conditions that were met:</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Scilex and the Tranche B Note holders agreed to a 10-year, assignable 4% royalty on global net sales of Gloperba and Elyxyb, excluding Elyxyb sales in Canada, with the Company entitled to 2%. Gloperba, an oral liquid colchicine formulation for gout, and Elyxyb, an oral solution for acute migraine treatment, represent key assets in Scilex’s portfolio. The definitive agreement was signed on February 28, 2025.</w:t>
            </w:r>
          </w:p>
        </w:tc>
      </w:tr>
    </w:tbl>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Tranche B Note holders had the option, through RoyaltyVest, to fund up to 50% of the cash purchase price for Ex-U.S. product rights to Gloperba and Elyxyb (excluding Elyxyb in Canada) and will receive proportional revenues from commercialization and licensing. As of December 31, 2025, RoyaltyVest exercised its option to Ex-U.S. product rights of Gloperba for $500. See note 6 for further details.</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 Warrant Agreement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agreed to defer an amortization payment due from Scilex on October 1, 2025 under the amortization schedule included in the Tranche B Notes. The deferred amortization payment was subsequently paid to us in November 2025. In consideration for this deferral, Scilex agreed to issue to the Company warrants to purchase 100,000 shares of Scilex’s common stock, par value $0.0001 per share with an exercise price of $20. The warrants were issued on February 19,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for the Tranche B Note and the Royalty Purchase Agreement, the Note B Warrants meet the definition of a derivative and therefore will be measured at fair value. Changes in value are recorded under financial income (loss), net and include interest income on the Tranche B Note.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F-22</w:t>
      </w:r>
    </w:p>
    <w:p>
      <w:pPr>
        <w:pStyle w:val="TextBody"/>
        <w:bidi w:val="0"/>
        <w:spacing w:before="0" w:after="0"/>
        <w:jc w:val="center"/>
        <w:rPr/>
      </w:pPr>
      <w:r>
        <w:rPr/>
        <w:t> </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Refinancing (continued)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Tranche B Note’s was performed based on the binomial model, using a discount rate of 111.89%. Presented below is the summary of the assumptions and estimates that were used for the valuation as of December 31, 2025:</w:t>
      </w:r>
    </w:p>
    <w:p>
      <w:pPr>
        <w:pStyle w:val="TextBody"/>
        <w:bidi w:val="0"/>
        <w:spacing w:before="0" w:after="0"/>
        <w:ind w:left="709" w:right="0" w:hanging="0"/>
        <w:jc w:val="both"/>
        <w:rPr>
          <w:caps w:val="false"/>
          <w:smallCaps w:val="false"/>
        </w:rPr>
      </w:pPr>
      <w:r>
        <w:rPr>
          <w:caps w:val="false"/>
          <w:smallCaps w:val="false"/>
        </w:rPr>
        <w:t> </w:t>
      </w:r>
    </w:p>
    <w:tbl>
      <w:tblPr>
        <w:tblW w:w="4190" w:type="dxa"/>
        <w:jc w:val="left"/>
        <w:tblInd w:w="0" w:type="dxa"/>
        <w:tblLayout w:type="fixed"/>
        <w:tblCellMar>
          <w:top w:w="0" w:type="dxa"/>
          <w:left w:w="0" w:type="dxa"/>
          <w:bottom w:w="28" w:type="dxa"/>
          <w:right w:w="0" w:type="dxa"/>
        </w:tblCellMar>
      </w:tblPr>
      <w:tblGrid>
        <w:gridCol w:w="3050"/>
        <w:gridCol w:w="90"/>
        <w:gridCol w:w="170"/>
        <w:gridCol w:w="590"/>
        <w:gridCol w:w="290"/>
      </w:tblGrid>
      <w:tr>
        <w:trPr/>
        <w:tc>
          <w:tcPr>
            <w:tcW w:w="3050" w:type="dxa"/>
            <w:tcBorders>
              <w:bottom w:val="single" w:sz="12" w:space="0" w:color="000000"/>
            </w:tcBorders>
            <w:vAlign w:val="center"/>
          </w:tcPr>
          <w:p>
            <w:pPr>
              <w:pStyle w:val="TableContents"/>
              <w:bidi w:val="0"/>
              <w:spacing w:before="0" w:after="283"/>
              <w:jc w:val="left"/>
              <w:rPr>
                <w:b/>
              </w:rPr>
            </w:pPr>
            <w:r>
              <w:rPr>
                <w:b/>
              </w:rPr>
              <w:t>Parameters and Assumptions</w:t>
            </w:r>
          </w:p>
        </w:tc>
        <w:tc>
          <w:tcPr>
            <w:tcW w:w="90" w:type="dxa"/>
            <w:tcBorders/>
            <w:tcMar>
              <w:bottom w:w="0" w:type="dxa"/>
            </w:tcMar>
            <w:vAlign w:val="center"/>
          </w:tcPr>
          <w:p>
            <w:pPr>
              <w:pStyle w:val="TableContents"/>
              <w:bidi w:val="0"/>
              <w:spacing w:before="0" w:after="283"/>
              <w:jc w:val="left"/>
              <w:rPr/>
            </w:pPr>
            <w:r>
              <w:rPr/>
              <w:t> </w:t>
            </w:r>
          </w:p>
        </w:tc>
        <w:tc>
          <w:tcPr>
            <w:tcW w:w="760"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Share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590" w:type="dxa"/>
            <w:tcBorders/>
            <w:shd w:fill="CCEEFF" w:val="clear"/>
            <w:tcMar>
              <w:bottom w:w="0" w:type="dxa"/>
            </w:tcMar>
            <w:vAlign w:val="center"/>
          </w:tcPr>
          <w:p>
            <w:pPr>
              <w:pStyle w:val="TableContents"/>
              <w:bidi w:val="0"/>
              <w:spacing w:before="0" w:after="283"/>
              <w:jc w:val="right"/>
              <w:rPr/>
            </w:pPr>
            <w:r>
              <w:rPr/>
              <w:t>12.20</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rPr>
            </w:pPr>
            <w:r>
              <w:rPr>
                <w:b/>
              </w:rPr>
              <w:t>Conversion Rate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36.40</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Floor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36.40</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rPr>
            </w:pPr>
            <w:r>
              <w:rPr>
                <w:b/>
              </w:rPr>
              <w:t>Expected Term</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0.77</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Volatility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66.39</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b/>
              </w:rPr>
            </w:pPr>
            <w:r>
              <w:rPr>
                <w:b/>
              </w:rPr>
              <w:t>Risk Free Rate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3.44</w:t>
            </w:r>
          </w:p>
        </w:tc>
        <w:tc>
          <w:tcPr>
            <w:tcW w:w="290" w:type="dxa"/>
            <w:tcBorders/>
            <w:tcMar>
              <w:bottom w:w="0" w:type="dxa"/>
            </w:tcMar>
            <w:vAlign w:val="center"/>
          </w:tcPr>
          <w:p>
            <w:pPr>
              <w:pStyle w:val="TableContents"/>
              <w:bidi w:val="0"/>
              <w:spacing w:before="0" w:after="283"/>
              <w:jc w:val="left"/>
              <w:rPr/>
            </w:pPr>
            <w:r>
              <w:rPr/>
              <w:t>%</w:t>
            </w:r>
          </w:p>
        </w:tc>
      </w:tr>
      <w:tr>
        <w:trPr/>
        <w:tc>
          <w:tcPr>
            <w:tcW w:w="3050" w:type="dxa"/>
            <w:tcBorders/>
            <w:shd w:fill="CCEEFF" w:val="clear"/>
            <w:tcMar>
              <w:bottom w:w="0" w:type="dxa"/>
            </w:tcMar>
            <w:vAlign w:val="center"/>
          </w:tcPr>
          <w:p>
            <w:pPr>
              <w:pStyle w:val="TableContents"/>
              <w:bidi w:val="0"/>
              <w:spacing w:before="0" w:after="283"/>
              <w:jc w:val="left"/>
              <w:rPr>
                <w:b/>
              </w:rPr>
            </w:pPr>
            <w:r>
              <w:rPr>
                <w:b/>
              </w:rPr>
              <w:t>Yield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75.09</w:t>
            </w:r>
          </w:p>
        </w:tc>
        <w:tc>
          <w:tcPr>
            <w:tcW w:w="29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Note B Warrants was calculated based on Black and Scholes model.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below is the summary of the assumptions and estimates that were used for the valuation of the Warrants as of December 31, 2025:</w:t>
      </w:r>
    </w:p>
    <w:p>
      <w:pPr>
        <w:pStyle w:val="TextBody"/>
        <w:bidi w:val="0"/>
        <w:spacing w:before="0" w:after="0"/>
        <w:ind w:left="709" w:right="0" w:hanging="0"/>
        <w:jc w:val="both"/>
        <w:rPr>
          <w:caps w:val="false"/>
          <w:smallCaps w:val="false"/>
        </w:rPr>
      </w:pPr>
      <w:r>
        <w:rPr>
          <w:caps w:val="false"/>
          <w:smallCaps w:val="false"/>
        </w:rPr>
        <w:t> </w:t>
      </w:r>
    </w:p>
    <w:tbl>
      <w:tblPr>
        <w:tblW w:w="4760" w:type="dxa"/>
        <w:jc w:val="left"/>
        <w:tblInd w:w="0" w:type="dxa"/>
        <w:tblLayout w:type="fixed"/>
        <w:tblCellMar>
          <w:top w:w="0" w:type="dxa"/>
          <w:left w:w="0" w:type="dxa"/>
          <w:bottom w:w="28" w:type="dxa"/>
          <w:right w:w="0" w:type="dxa"/>
        </w:tblCellMar>
      </w:tblPr>
      <w:tblGrid>
        <w:gridCol w:w="3050"/>
        <w:gridCol w:w="90"/>
        <w:gridCol w:w="155"/>
        <w:gridCol w:w="1175"/>
        <w:gridCol w:w="290"/>
      </w:tblGrid>
      <w:tr>
        <w:trPr/>
        <w:tc>
          <w:tcPr>
            <w:tcW w:w="3050" w:type="dxa"/>
            <w:tcBorders>
              <w:bottom w:val="single" w:sz="12" w:space="0" w:color="000000"/>
            </w:tcBorders>
            <w:vAlign w:val="center"/>
          </w:tcPr>
          <w:p>
            <w:pPr>
              <w:pStyle w:val="TableContents"/>
              <w:bidi w:val="0"/>
              <w:spacing w:before="0" w:after="283"/>
              <w:jc w:val="left"/>
              <w:rPr>
                <w:b/>
              </w:rPr>
            </w:pPr>
            <w:r>
              <w:rPr>
                <w:b/>
              </w:rPr>
              <w:t>Parameters and Assumptions</w:t>
            </w:r>
          </w:p>
        </w:tc>
        <w:tc>
          <w:tcPr>
            <w:tcW w:w="90" w:type="dxa"/>
            <w:tcBorders/>
            <w:tcMar>
              <w:bottom w:w="0" w:type="dxa"/>
            </w:tcMar>
            <w:vAlign w:val="center"/>
          </w:tcPr>
          <w:p>
            <w:pPr>
              <w:pStyle w:val="TableContents"/>
              <w:bidi w:val="0"/>
              <w:spacing w:before="0" w:after="283"/>
              <w:jc w:val="left"/>
              <w:rPr/>
            </w:pPr>
            <w:r>
              <w:rPr/>
              <w:t> </w:t>
            </w:r>
          </w:p>
        </w:tc>
        <w:tc>
          <w:tcPr>
            <w:tcW w:w="1330"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Share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shd w:fill="CCEEFF" w:val="clear"/>
            <w:tcMar>
              <w:bottom w:w="0" w:type="dxa"/>
            </w:tcMar>
            <w:vAlign w:val="center"/>
          </w:tcPr>
          <w:p>
            <w:pPr>
              <w:pStyle w:val="TableContents"/>
              <w:bidi w:val="0"/>
              <w:spacing w:before="0" w:after="283"/>
              <w:jc w:val="right"/>
              <w:rPr/>
            </w:pPr>
            <w:r>
              <w:rPr/>
              <w:t>12.20</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rPr>
            </w:pPr>
            <w:r>
              <w:rPr>
                <w:b/>
              </w:rPr>
              <w:t>Exercise Price</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 – 36.4</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Expected Term</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3.77 – 3.95</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rPr>
            </w:pPr>
            <w:r>
              <w:rPr>
                <w:b/>
              </w:rPr>
              <w:t>Volatility</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68.63 – 68.27</w:t>
            </w:r>
          </w:p>
        </w:tc>
        <w:tc>
          <w:tcPr>
            <w:tcW w:w="290" w:type="dxa"/>
            <w:tcBorders/>
            <w:tcMar>
              <w:bottom w:w="0" w:type="dxa"/>
            </w:tcMar>
            <w:vAlign w:val="center"/>
          </w:tcPr>
          <w:p>
            <w:pPr>
              <w:pStyle w:val="TableContents"/>
              <w:bidi w:val="0"/>
              <w:spacing w:before="0" w:after="283"/>
              <w:jc w:val="left"/>
              <w:rPr/>
            </w:pPr>
            <w:r>
              <w:rPr/>
              <w:t>%</w:t>
            </w:r>
          </w:p>
        </w:tc>
      </w:tr>
      <w:tr>
        <w:trPr/>
        <w:tc>
          <w:tcPr>
            <w:tcW w:w="3050" w:type="dxa"/>
            <w:tcBorders/>
            <w:shd w:fill="CCEEFF" w:val="clear"/>
            <w:tcMar>
              <w:bottom w:w="0" w:type="dxa"/>
            </w:tcMar>
            <w:vAlign w:val="center"/>
          </w:tcPr>
          <w:p>
            <w:pPr>
              <w:pStyle w:val="TableContents"/>
              <w:bidi w:val="0"/>
              <w:spacing w:before="0" w:after="283"/>
              <w:jc w:val="left"/>
              <w:rPr>
                <w:b/>
              </w:rPr>
            </w:pPr>
            <w:r>
              <w:rPr>
                <w:b/>
              </w:rPr>
              <w:t>Risk Free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 – 3.58</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b/>
              </w:rPr>
            </w:pPr>
            <w:r>
              <w:rPr>
                <w:b/>
              </w:rPr>
              <w:t>Dividend Rate</w:t>
            </w:r>
          </w:p>
        </w:tc>
        <w:tc>
          <w:tcPr>
            <w:tcW w:w="90" w:type="dxa"/>
            <w:tcBorders/>
            <w:tcMar>
              <w:bottom w:w="0" w:type="dxa"/>
            </w:tcMar>
            <w:vAlign w:val="center"/>
          </w:tcPr>
          <w:p>
            <w:pPr>
              <w:pStyle w:val="TableContents"/>
              <w:bidi w:val="0"/>
              <w:spacing w:before="0" w:after="283"/>
              <w:jc w:val="left"/>
              <w:rPr/>
            </w:pPr>
            <w:r>
              <w:rPr/>
              <w:t> </w:t>
            </w:r>
          </w:p>
        </w:tc>
        <w:tc>
          <w:tcPr>
            <w:tcW w:w="155"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0</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Royalty Purchase Agreement was calculated according to the royalty payment schedule and the aggregation of discounted cash flows derived from the royalty payments, using a discount rate of between 111.51% to 111.83%.</w:t>
      </w:r>
    </w:p>
    <w:p>
      <w:pPr>
        <w:pStyle w:val="TextBody"/>
        <w:bidi w:val="0"/>
        <w:spacing w:before="0" w:after="0"/>
        <w:ind w:left="709"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fair value of the Tranche B Note was less than the aggregate unpaid principal balance (which includes interest payable on maturity) by $4,488 and $9,833, respectively.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composition of the Tranche B Note: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69"/>
        <w:gridCol w:w="90"/>
        <w:gridCol w:w="218"/>
        <w:gridCol w:w="913"/>
        <w:gridCol w:w="90"/>
        <w:gridCol w:w="90"/>
        <w:gridCol w:w="244"/>
        <w:gridCol w:w="849"/>
        <w:gridCol w:w="90"/>
        <w:gridCol w:w="90"/>
        <w:gridCol w:w="170"/>
        <w:gridCol w:w="710"/>
        <w:gridCol w:w="90"/>
        <w:gridCol w:w="90"/>
        <w:gridCol w:w="218"/>
        <w:gridCol w:w="913"/>
        <w:gridCol w:w="90"/>
        <w:gridCol w:w="90"/>
        <w:gridCol w:w="244"/>
        <w:gridCol w:w="849"/>
        <w:gridCol w:w="90"/>
        <w:gridCol w:w="90"/>
        <w:gridCol w:w="170"/>
        <w:gridCol w:w="710"/>
        <w:gridCol w:w="138"/>
      </w:tblGrid>
      <w:tr>
        <w:trPr/>
        <w:tc>
          <w:tcPr>
            <w:tcW w:w="28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38" w:type="dxa"/>
            <w:tcBorders/>
            <w:vAlign w:val="center"/>
          </w:tcPr>
          <w:p>
            <w:pPr>
              <w:pStyle w:val="TableContents"/>
              <w:bidi w:val="0"/>
              <w:spacing w:before="0" w:after="283"/>
              <w:jc w:val="left"/>
              <w:rPr/>
            </w:pPr>
            <w:r>
              <w:rPr/>
              <w:t> </w:t>
            </w:r>
          </w:p>
        </w:tc>
      </w:tr>
      <w:tr>
        <w:trPr/>
        <w:tc>
          <w:tcPr>
            <w:tcW w:w="28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 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Long 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Short 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Long term</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8" w:type="dxa"/>
            <w:tcBorders/>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b/>
              </w:rPr>
            </w:pPr>
            <w:r>
              <w:rPr>
                <w:b/>
              </w:rPr>
              <w:t>Tranche Note B</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11,473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11,263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4,535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15,798</w:t>
            </w:r>
          </w:p>
        </w:tc>
        <w:tc>
          <w:tcPr>
            <w:tcW w:w="138" w:type="dxa"/>
            <w:tcBorders/>
            <w:shd w:fill="CCEEFF" w:val="clear"/>
            <w:vAlign w:val="center"/>
          </w:tcPr>
          <w:p>
            <w:pPr>
              <w:pStyle w:val="TableContents"/>
              <w:bidi w:val="0"/>
              <w:spacing w:before="0" w:after="283"/>
              <w:jc w:val="left"/>
              <w:rPr/>
            </w:pPr>
            <w:r>
              <w:rPr/>
              <w:t> </w:t>
            </w:r>
          </w:p>
        </w:tc>
      </w:tr>
      <w:tr>
        <w:trPr/>
        <w:tc>
          <w:tcPr>
            <w:tcW w:w="2869" w:type="dxa"/>
            <w:tcBorders/>
            <w:vAlign w:val="center"/>
          </w:tcPr>
          <w:p>
            <w:pPr>
              <w:pStyle w:val="TableContents"/>
              <w:bidi w:val="0"/>
              <w:spacing w:before="0" w:after="283"/>
              <w:jc w:val="left"/>
              <w:rPr>
                <w:b/>
              </w:rPr>
            </w:pPr>
            <w:r>
              <w:rPr>
                <w:b/>
              </w:rPr>
              <w:t>Warrant</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849" w:type="dxa"/>
            <w:tcBorders/>
            <w:vAlign w:val="center"/>
          </w:tcPr>
          <w:p>
            <w:pPr>
              <w:pStyle w:val="TableContents"/>
              <w:bidi w:val="0"/>
              <w:spacing w:before="0" w:after="283"/>
              <w:jc w:val="right"/>
              <w:rPr/>
            </w:pPr>
            <w:r>
              <w:rPr/>
              <w:t>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849" w:type="dxa"/>
            <w:tcBorders/>
            <w:vAlign w:val="center"/>
          </w:tcPr>
          <w:p>
            <w:pPr>
              <w:pStyle w:val="TableContents"/>
              <w:bidi w:val="0"/>
              <w:spacing w:before="0" w:after="283"/>
              <w:jc w:val="right"/>
              <w:rPr/>
            </w:pPr>
            <w:r>
              <w:rPr/>
              <w:t>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548</w:t>
            </w:r>
          </w:p>
        </w:tc>
        <w:tc>
          <w:tcPr>
            <w:tcW w:w="138" w:type="dxa"/>
            <w:tcBorders/>
            <w:vAlign w:val="center"/>
          </w:tcPr>
          <w:p>
            <w:pPr>
              <w:pStyle w:val="TableContents"/>
              <w:bidi w:val="0"/>
              <w:spacing w:before="0" w:after="283"/>
              <w:jc w:val="left"/>
              <w:rPr/>
            </w:pPr>
            <w:r>
              <w:rPr/>
              <w:t> </w:t>
            </w:r>
          </w:p>
        </w:tc>
      </w:tr>
      <w:tr>
        <w:trPr/>
        <w:tc>
          <w:tcPr>
            <w:tcW w:w="2869" w:type="dxa"/>
            <w:tcBorders/>
            <w:shd w:fill="CCEEFF" w:val="clear"/>
            <w:vAlign w:val="center"/>
          </w:tcPr>
          <w:p>
            <w:pPr>
              <w:pStyle w:val="TableContents"/>
              <w:bidi w:val="0"/>
              <w:spacing w:before="0" w:after="283"/>
              <w:jc w:val="left"/>
              <w:rPr>
                <w:b/>
              </w:rPr>
            </w:pPr>
            <w:r>
              <w:rPr>
                <w:b/>
              </w:rPr>
              <w:t>Royalty Purchase Agreement</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1,072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1,137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2,209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single" w:sz="12" w:space="0" w:color="000000"/>
            </w:tcBorders>
            <w:shd w:fill="CCEEFF" w:val="clear"/>
            <w:tcMar>
              <w:bottom w:w="28" w:type="dxa"/>
            </w:tcMar>
            <w:vAlign w:val="center"/>
          </w:tcPr>
          <w:p>
            <w:pPr>
              <w:pStyle w:val="TableContents"/>
              <w:bidi w:val="0"/>
              <w:spacing w:before="0" w:after="283"/>
              <w:jc w:val="right"/>
              <w:rPr/>
            </w:pPr>
            <w:r>
              <w:rPr/>
              <w:t>1,039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9" w:type="dxa"/>
            <w:tcBorders>
              <w:bottom w:val="single" w:sz="12" w:space="0" w:color="000000"/>
            </w:tcBorders>
            <w:shd w:fill="CCEEFF" w:val="clear"/>
            <w:tcMar>
              <w:bottom w:w="28" w:type="dxa"/>
            </w:tcMar>
            <w:vAlign w:val="center"/>
          </w:tcPr>
          <w:p>
            <w:pPr>
              <w:pStyle w:val="TableContents"/>
              <w:bidi w:val="0"/>
              <w:spacing w:before="0" w:after="283"/>
              <w:jc w:val="right"/>
              <w:rPr/>
            </w:pPr>
            <w:r>
              <w:rPr/>
              <w:t>937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1,976</w:t>
            </w:r>
          </w:p>
        </w:tc>
        <w:tc>
          <w:tcPr>
            <w:tcW w:w="138" w:type="dxa"/>
            <w:tcBorders/>
            <w:shd w:fill="CCEEFF" w:val="clear"/>
            <w:vAlign w:val="center"/>
          </w:tcPr>
          <w:p>
            <w:pPr>
              <w:pStyle w:val="TableContents"/>
              <w:bidi w:val="0"/>
              <w:spacing w:before="0" w:after="283"/>
              <w:jc w:val="left"/>
              <w:rPr/>
            </w:pPr>
            <w:r>
              <w:rPr/>
              <w:t> </w:t>
            </w:r>
          </w:p>
        </w:tc>
      </w:tr>
      <w:tr>
        <w:trPr/>
        <w:tc>
          <w:tcPr>
            <w:tcW w:w="2869"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218"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12,545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double" w:sz="10" w:space="0" w:color="000000"/>
            </w:tcBorders>
            <w:tcMar>
              <w:bottom w:w="28" w:type="dxa"/>
            </w:tcMar>
            <w:vAlign w:val="center"/>
          </w:tcPr>
          <w:p>
            <w:pPr>
              <w:pStyle w:val="TableContents"/>
              <w:bidi w:val="0"/>
              <w:spacing w:before="0" w:after="283"/>
              <w:jc w:val="left"/>
              <w:rPr/>
            </w:pPr>
            <w:r>
              <w:rPr/>
              <w:t>$</w:t>
            </w:r>
          </w:p>
        </w:tc>
        <w:tc>
          <w:tcPr>
            <w:tcW w:w="849" w:type="dxa"/>
            <w:tcBorders>
              <w:bottom w:val="double" w:sz="10" w:space="0" w:color="000000"/>
            </w:tcBorders>
            <w:tcMar>
              <w:bottom w:w="28" w:type="dxa"/>
            </w:tcMar>
            <w:vAlign w:val="center"/>
          </w:tcPr>
          <w:p>
            <w:pPr>
              <w:pStyle w:val="TableContents"/>
              <w:bidi w:val="0"/>
              <w:spacing w:before="0" w:after="283"/>
              <w:jc w:val="right"/>
              <w:rPr/>
            </w:pPr>
            <w:r>
              <w:rPr/>
              <w:t>1,987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14,532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double" w:sz="10" w:space="0" w:color="000000"/>
            </w:tcBorders>
            <w:tcMar>
              <w:bottom w:w="28" w:type="dxa"/>
            </w:tcMar>
            <w:vAlign w:val="center"/>
          </w:tcPr>
          <w:p>
            <w:pPr>
              <w:pStyle w:val="TableContents"/>
              <w:bidi w:val="0"/>
              <w:spacing w:before="0" w:after="283"/>
              <w:jc w:val="left"/>
              <w:rPr/>
            </w:pPr>
            <w:r>
              <w:rPr/>
              <w:t>$</w:t>
            </w:r>
          </w:p>
        </w:tc>
        <w:tc>
          <w:tcPr>
            <w:tcW w:w="913" w:type="dxa"/>
            <w:tcBorders>
              <w:bottom w:val="double" w:sz="10" w:space="0" w:color="000000"/>
            </w:tcBorders>
            <w:tcMar>
              <w:bottom w:w="28" w:type="dxa"/>
            </w:tcMar>
            <w:vAlign w:val="center"/>
          </w:tcPr>
          <w:p>
            <w:pPr>
              <w:pStyle w:val="TableContents"/>
              <w:bidi w:val="0"/>
              <w:spacing w:before="0" w:after="283"/>
              <w:jc w:val="right"/>
              <w:rPr/>
            </w:pPr>
            <w:r>
              <w:rPr/>
              <w:t>12,302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 w:type="dxa"/>
            <w:tcBorders>
              <w:bottom w:val="double" w:sz="10" w:space="0" w:color="000000"/>
            </w:tcBorders>
            <w:tcMar>
              <w:bottom w:w="28" w:type="dxa"/>
            </w:tcMar>
            <w:vAlign w:val="center"/>
          </w:tcPr>
          <w:p>
            <w:pPr>
              <w:pStyle w:val="TableContents"/>
              <w:bidi w:val="0"/>
              <w:spacing w:before="0" w:after="283"/>
              <w:jc w:val="left"/>
              <w:rPr/>
            </w:pPr>
            <w:r>
              <w:rPr/>
              <w:t>$</w:t>
            </w:r>
          </w:p>
        </w:tc>
        <w:tc>
          <w:tcPr>
            <w:tcW w:w="849" w:type="dxa"/>
            <w:tcBorders>
              <w:bottom w:val="double" w:sz="10" w:space="0" w:color="000000"/>
            </w:tcBorders>
            <w:tcMar>
              <w:bottom w:w="28" w:type="dxa"/>
            </w:tcMar>
            <w:vAlign w:val="center"/>
          </w:tcPr>
          <w:p>
            <w:pPr>
              <w:pStyle w:val="TableContents"/>
              <w:bidi w:val="0"/>
              <w:spacing w:before="0" w:after="283"/>
              <w:jc w:val="right"/>
              <w:rPr/>
            </w:pPr>
            <w:r>
              <w:rPr/>
              <w:t>6,020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18,322</w:t>
            </w:r>
          </w:p>
        </w:tc>
        <w:tc>
          <w:tcPr>
            <w:tcW w:w="13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F-23</w:t>
      </w:r>
    </w:p>
    <w:p>
      <w:pPr>
        <w:pStyle w:val="TextBody"/>
        <w:bidi w:val="0"/>
        <w:spacing w:before="0" w:after="0"/>
        <w:jc w:val="center"/>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Scilex Transaction Summary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cycle of 2023 Scilex Transaction and 2024 Refinancing Transaction throughout December 31, 2024 and December 31, 2025:</w:t>
      </w:r>
    </w:p>
    <w:p>
      <w:pPr>
        <w:pStyle w:val="TextBody"/>
        <w:bidi w:val="0"/>
        <w:spacing w:before="0" w:after="0"/>
        <w:ind w:left="72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5180"/>
        <w:gridCol w:w="90"/>
        <w:gridCol w:w="197"/>
        <w:gridCol w:w="963"/>
        <w:gridCol w:w="125"/>
        <w:gridCol w:w="90"/>
        <w:gridCol w:w="221"/>
        <w:gridCol w:w="924"/>
        <w:gridCol w:w="125"/>
        <w:gridCol w:w="90"/>
        <w:gridCol w:w="170"/>
        <w:gridCol w:w="830"/>
        <w:gridCol w:w="170"/>
      </w:tblGrid>
      <w:tr>
        <w:trPr/>
        <w:tc>
          <w:tcPr>
            <w:tcW w:w="51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Tranche 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Tranche 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Balance as of December 31, 2023</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b/>
              </w:rPr>
            </w:pPr>
            <w:r>
              <w:rPr>
                <w:b/>
              </w:rPr>
              <w:t>$</w:t>
            </w:r>
          </w:p>
        </w:tc>
        <w:tc>
          <w:tcPr>
            <w:tcW w:w="963" w:type="dxa"/>
            <w:tcBorders/>
            <w:shd w:fill="CCEEFF" w:val="clear"/>
            <w:vAlign w:val="center"/>
          </w:tcPr>
          <w:p>
            <w:pPr>
              <w:pStyle w:val="TableContents"/>
              <w:bidi w:val="0"/>
              <w:spacing w:before="0" w:after="283"/>
              <w:jc w:val="right"/>
              <w:rPr>
                <w:b/>
              </w:rPr>
            </w:pPr>
            <w:r>
              <w:rPr>
                <w:b/>
              </w:rPr>
              <w:t>110,188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b/>
              </w:rPr>
            </w:pPr>
            <w:r>
              <w:rPr>
                <w:b/>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110,188</w:t>
            </w:r>
          </w:p>
        </w:tc>
        <w:tc>
          <w:tcPr>
            <w:tcW w:w="170"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2024 Refinancing</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(21,575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25,000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3,425</w:t>
            </w:r>
          </w:p>
        </w:tc>
        <w:tc>
          <w:tcPr>
            <w:tcW w:w="17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Proceeds from the sale of Transferred Warrants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(300</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Cash received from Tranche A Note repayment</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(64,200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(64,200</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Exercised warrants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(6,123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(6,123</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Amounts receivable from the royalty agreement</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(398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(398</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Change in fair value</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(1,504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(6,280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(7,784</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b/>
              </w:rPr>
            </w:pPr>
            <w:r>
              <w:rPr>
                <w:b/>
              </w:rPr>
              <w:t>Balance as of December 31, 2024</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b/>
              </w:rPr>
            </w:pPr>
            <w:r>
              <w:rPr>
                <w:b/>
              </w:rPr>
              <w:t>16,486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b/>
              </w:rPr>
            </w:pPr>
            <w:r>
              <w:rPr>
                <w:b/>
              </w:rPr>
              <w:t>18,322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34,808</w:t>
            </w:r>
          </w:p>
        </w:tc>
        <w:tc>
          <w:tcPr>
            <w:tcW w:w="170"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Amounts receivable from the royalty agreement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(1,640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(1,640</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Principal payments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(9,875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(9,875</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Proceeds from the sale of Subsequent Penny Warrants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(28,500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(28,500</w:t>
            </w:r>
          </w:p>
        </w:tc>
        <w:tc>
          <w:tcPr>
            <w:tcW w:w="170" w:type="dxa"/>
            <w:tcBorders/>
            <w:shd w:fill="CCEEFF" w:val="clear"/>
            <w:vAlign w:val="center"/>
          </w:tcPr>
          <w:p>
            <w:pPr>
              <w:pStyle w:val="TableContents"/>
              <w:bidi w:val="0"/>
              <w:spacing w:before="0" w:after="283"/>
              <w:jc w:val="left"/>
              <w:rPr/>
            </w:pPr>
            <w:r>
              <w:rPr/>
              <w:t>)</w:t>
            </w:r>
          </w:p>
        </w:tc>
      </w:tr>
      <w:tr>
        <w:trPr/>
        <w:tc>
          <w:tcPr>
            <w:tcW w:w="5180" w:type="dxa"/>
            <w:tcBorders/>
            <w:vAlign w:val="center"/>
          </w:tcPr>
          <w:p>
            <w:pPr>
              <w:pStyle w:val="TableContents"/>
              <w:bidi w:val="0"/>
              <w:spacing w:before="0" w:after="283"/>
              <w:jc w:val="left"/>
              <w:rPr/>
            </w:pPr>
            <w:r>
              <w:rPr/>
              <w:t>Interest payments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right"/>
              <w:rPr/>
            </w:pPr>
            <w:r>
              <w:rPr/>
              <w:t>(1,845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(1,845</w:t>
            </w:r>
          </w:p>
        </w:tc>
        <w:tc>
          <w:tcPr>
            <w:tcW w:w="170" w:type="dxa"/>
            <w:tcBorders/>
            <w:vAlign w:val="center"/>
          </w:tcPr>
          <w:p>
            <w:pPr>
              <w:pStyle w:val="TableContents"/>
              <w:bidi w:val="0"/>
              <w:spacing w:before="0" w:after="283"/>
              <w:jc w:val="left"/>
              <w:rPr/>
            </w:pPr>
            <w:r>
              <w:rPr/>
              <w:t>)</w:t>
            </w:r>
          </w:p>
        </w:tc>
      </w:tr>
      <w:tr>
        <w:trPr/>
        <w:tc>
          <w:tcPr>
            <w:tcW w:w="5180" w:type="dxa"/>
            <w:tcBorders/>
            <w:shd w:fill="CCEEFF" w:val="clear"/>
            <w:vAlign w:val="center"/>
          </w:tcPr>
          <w:p>
            <w:pPr>
              <w:pStyle w:val="TableContents"/>
              <w:bidi w:val="0"/>
              <w:spacing w:before="0" w:after="283"/>
              <w:jc w:val="left"/>
              <w:rPr/>
            </w:pPr>
            <w:r>
              <w:rPr/>
              <w:t>Change in fair value</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pPr>
            <w:r>
              <w:rPr/>
              <w:t>35,077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4" w:type="dxa"/>
            <w:tcBorders>
              <w:bottom w:val="single" w:sz="12" w:space="0" w:color="000000"/>
            </w:tcBorders>
            <w:shd w:fill="CCEEFF" w:val="clear"/>
            <w:tcMar>
              <w:bottom w:w="28" w:type="dxa"/>
            </w:tcMar>
            <w:vAlign w:val="center"/>
          </w:tcPr>
          <w:p>
            <w:pPr>
              <w:pStyle w:val="TableContents"/>
              <w:bidi w:val="0"/>
              <w:spacing w:before="0" w:after="283"/>
              <w:jc w:val="right"/>
              <w:rPr/>
            </w:pPr>
            <w:r>
              <w:rPr/>
              <w:t>9,570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44,647</w:t>
            </w:r>
          </w:p>
        </w:tc>
        <w:tc>
          <w:tcPr>
            <w:tcW w:w="170" w:type="dxa"/>
            <w:tcBorders/>
            <w:shd w:fill="CCEEFF" w:val="clear"/>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b/>
              </w:rPr>
            </w:pPr>
            <w:r>
              <w:rPr>
                <w:b/>
              </w:rPr>
              <w:t>Balance as of December 31, 2025</w:t>
            </w:r>
          </w:p>
        </w:tc>
        <w:tc>
          <w:tcPr>
            <w:tcW w:w="90" w:type="dxa"/>
            <w:tcBorders/>
            <w:vAlign w:val="center"/>
          </w:tcPr>
          <w:p>
            <w:pPr>
              <w:pStyle w:val="TableContents"/>
              <w:bidi w:val="0"/>
              <w:spacing w:before="0" w:after="283"/>
              <w:jc w:val="left"/>
              <w:rPr/>
            </w:pPr>
            <w:r>
              <w:rPr/>
              <w:t> </w:t>
            </w:r>
          </w:p>
        </w:tc>
        <w:tc>
          <w:tcPr>
            <w:tcW w:w="197"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63" w:type="dxa"/>
            <w:tcBorders>
              <w:bottom w:val="double" w:sz="10" w:space="0" w:color="000000"/>
            </w:tcBorders>
            <w:tcMar>
              <w:bottom w:w="28" w:type="dxa"/>
            </w:tcMar>
            <w:vAlign w:val="center"/>
          </w:tcPr>
          <w:p>
            <w:pPr>
              <w:pStyle w:val="TableContents"/>
              <w:bidi w:val="0"/>
              <w:spacing w:before="0" w:after="283"/>
              <w:jc w:val="right"/>
              <w:rPr>
                <w:b/>
              </w:rPr>
            </w:pPr>
            <w:r>
              <w:rPr>
                <w:b/>
              </w:rPr>
              <w:t>23,063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924" w:type="dxa"/>
            <w:tcBorders>
              <w:bottom w:val="double" w:sz="10" w:space="0" w:color="000000"/>
            </w:tcBorders>
            <w:tcMar>
              <w:bottom w:w="28" w:type="dxa"/>
            </w:tcMar>
            <w:vAlign w:val="center"/>
          </w:tcPr>
          <w:p>
            <w:pPr>
              <w:pStyle w:val="TableContents"/>
              <w:bidi w:val="0"/>
              <w:spacing w:before="0" w:after="283"/>
              <w:jc w:val="right"/>
              <w:rPr>
                <w:b/>
              </w:rPr>
            </w:pPr>
            <w:r>
              <w:rPr>
                <w:b/>
              </w:rPr>
              <w:t>14,532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37,595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October 30, 2024 the Company exercised 128,572 Closing Penny Warrants, and 57,143 Subsequent Penny Warrants into 185,715 shares of common stock of Scilex and as a result, these shares are not part of the Tranche A Note. As of December 31, 2025, the Company no longer holds any shares of Scilex common stock.</w:t>
            </w:r>
          </w:p>
        </w:tc>
      </w:tr>
    </w:tbl>
    <w:p>
      <w:pPr>
        <w:pStyle w:val="TextBody"/>
        <w:bidi w:val="0"/>
        <w:spacing w:before="0" w:after="0"/>
        <w:ind w:left="0" w:right="0" w:hanging="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395"/>
        <w:gridCol w:w="905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of December 31, 2025, out of this amount $449 is included under prepaid expenses and other current assets.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 (loss) recognized in respect of the 2023 Scilex Transaction and the 2024 Refinancing, for the years ended December 31, 2025 and 2024, were $44,647 and ($4,359),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breakdown as of December 31, 2025:</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8"/>
        <w:gridCol w:w="90"/>
        <w:gridCol w:w="199"/>
        <w:gridCol w:w="691"/>
        <w:gridCol w:w="90"/>
        <w:gridCol w:w="90"/>
        <w:gridCol w:w="177"/>
        <w:gridCol w:w="743"/>
        <w:gridCol w:w="90"/>
        <w:gridCol w:w="90"/>
        <w:gridCol w:w="170"/>
        <w:gridCol w:w="710"/>
        <w:gridCol w:w="90"/>
        <w:gridCol w:w="90"/>
        <w:gridCol w:w="170"/>
        <w:gridCol w:w="830"/>
        <w:gridCol w:w="90"/>
        <w:gridCol w:w="90"/>
        <w:gridCol w:w="278"/>
        <w:gridCol w:w="673"/>
        <w:gridCol w:w="90"/>
        <w:gridCol w:w="90"/>
        <w:gridCol w:w="170"/>
        <w:gridCol w:w="710"/>
        <w:gridCol w:w="90"/>
        <w:gridCol w:w="90"/>
        <w:gridCol w:w="170"/>
        <w:gridCol w:w="710"/>
        <w:gridCol w:w="136"/>
      </w:tblGrid>
      <w:tr>
        <w:trPr/>
        <w:tc>
          <w:tcPr>
            <w:tcW w:w="2498"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05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Tranche A 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9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Tranche B 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6" w:type="dxa"/>
            <w:tcBorders/>
            <w:vAlign w:val="center"/>
          </w:tcPr>
          <w:p>
            <w:pPr>
              <w:pStyle w:val="TableContents"/>
              <w:bidi w:val="0"/>
              <w:spacing w:before="0" w:after="283"/>
              <w:ind w:left="0" w:right="0" w:hanging="180"/>
              <w:jc w:val="left"/>
              <w:rPr/>
            </w:pPr>
            <w:r>
              <w:rPr/>
              <w:t> </w:t>
            </w:r>
          </w:p>
        </w:tc>
      </w:tr>
      <w:tr>
        <w:trPr/>
        <w:tc>
          <w:tcPr>
            <w:tcW w:w="24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Accrued</w:t>
              <w:br/>
              <w:t>Interest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Accrued </w:t>
              <w:br/>
              <w:t>Interest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Fair </w:t>
              <w:br/>
              <w:t>Value</w:t>
            </w:r>
          </w:p>
        </w:tc>
        <w:tc>
          <w:tcPr>
            <w:tcW w:w="136" w:type="dxa"/>
            <w:tcBorders/>
            <w:vAlign w:val="center"/>
          </w:tcPr>
          <w:p>
            <w:pPr>
              <w:pStyle w:val="TableContents"/>
              <w:bidi w:val="0"/>
              <w:spacing w:before="0" w:after="283"/>
              <w:ind w:left="0" w:right="0" w:hanging="180"/>
              <w:jc w:val="left"/>
              <w:rPr/>
            </w:pPr>
            <w:r>
              <w:rPr/>
              <w:t> </w:t>
            </w:r>
          </w:p>
        </w:tc>
      </w:tr>
      <w:tr>
        <w:trPr/>
        <w:tc>
          <w:tcPr>
            <w:tcW w:w="2498" w:type="dxa"/>
            <w:tcBorders/>
            <w:shd w:fill="CCEEFF" w:val="clear"/>
            <w:vAlign w:val="center"/>
          </w:tcPr>
          <w:p>
            <w:pPr>
              <w:pStyle w:val="TableContents"/>
              <w:bidi w:val="0"/>
              <w:spacing w:before="0" w:after="283"/>
              <w:jc w:val="left"/>
              <w:rPr/>
            </w:pPr>
            <w:r>
              <w:rPr/>
              <w:t>Notes</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7,675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743" w:type="dxa"/>
            <w:tcBorders/>
            <w:shd w:fill="CCEEFF" w:val="clear"/>
            <w:vAlign w:val="center"/>
          </w:tcPr>
          <w:p>
            <w:pPr>
              <w:pStyle w:val="TableContents"/>
              <w:bidi w:val="0"/>
              <w:spacing w:before="0" w:after="283"/>
              <w:jc w:val="right"/>
              <w:rPr/>
            </w:pPr>
            <w:r>
              <w:rPr/>
              <w:t>17,153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23,063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15,125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673" w:type="dxa"/>
            <w:tcBorders/>
            <w:shd w:fill="CCEEFF" w:val="clear"/>
            <w:vAlign w:val="center"/>
          </w:tcPr>
          <w:p>
            <w:pPr>
              <w:pStyle w:val="TableContents"/>
              <w:bidi w:val="0"/>
              <w:spacing w:before="0" w:after="283"/>
              <w:jc w:val="right"/>
              <w:rPr/>
            </w:pPr>
            <w:r>
              <w:rPr/>
              <w:t>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11,473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34,536</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2498" w:type="dxa"/>
            <w:tcBorders/>
            <w:vAlign w:val="center"/>
          </w:tcPr>
          <w:p>
            <w:pPr>
              <w:pStyle w:val="TableContents"/>
              <w:bidi w:val="0"/>
              <w:spacing w:before="0" w:after="283"/>
              <w:jc w:val="left"/>
              <w:rPr/>
            </w:pPr>
            <w:r>
              <w:rPr/>
              <w:t>Warrants</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207,143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850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850</w:t>
            </w:r>
          </w:p>
        </w:tc>
        <w:tc>
          <w:tcPr>
            <w:tcW w:w="136" w:type="dxa"/>
            <w:tcBorders/>
            <w:vAlign w:val="center"/>
          </w:tcPr>
          <w:p>
            <w:pPr>
              <w:pStyle w:val="TableContents"/>
              <w:bidi w:val="0"/>
              <w:spacing w:before="0" w:after="283"/>
              <w:ind w:left="0" w:right="0" w:hanging="180"/>
              <w:jc w:val="left"/>
              <w:rPr/>
            </w:pPr>
            <w:r>
              <w:rPr/>
              <w:t> </w:t>
            </w:r>
          </w:p>
        </w:tc>
      </w:tr>
      <w:tr>
        <w:trPr/>
        <w:tc>
          <w:tcPr>
            <w:tcW w:w="2498" w:type="dxa"/>
            <w:tcBorders/>
            <w:shd w:fill="CCEEFF" w:val="clear"/>
            <w:vAlign w:val="center"/>
          </w:tcPr>
          <w:p>
            <w:pPr>
              <w:pStyle w:val="TableContents"/>
              <w:bidi w:val="0"/>
              <w:spacing w:before="0" w:after="283"/>
              <w:jc w:val="left"/>
              <w:rPr/>
            </w:pPr>
            <w:r>
              <w:rPr/>
              <w:t>Royalty Purchase Agreement payment</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67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2,209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2,209</w:t>
            </w:r>
          </w:p>
        </w:tc>
        <w:tc>
          <w:tcPr>
            <w:tcW w:w="136" w:type="dxa"/>
            <w:tcBorders/>
            <w:shd w:fill="CCEEFF" w:val="clear"/>
            <w:vAlign w:val="center"/>
          </w:tcPr>
          <w:p>
            <w:pPr>
              <w:pStyle w:val="TableContents"/>
              <w:bidi w:val="0"/>
              <w:spacing w:before="0" w:after="283"/>
              <w:ind w:left="0" w:right="0" w:hanging="180"/>
              <w:jc w:val="left"/>
              <w:rPr/>
            </w:pPr>
            <w:r>
              <w:rPr/>
              <w:t> </w:t>
            </w:r>
          </w:p>
        </w:tc>
      </w:tr>
      <w:tr>
        <w:trPr/>
        <w:tc>
          <w:tcPr>
            <w:tcW w:w="2498" w:type="dxa"/>
            <w:tcBorders/>
            <w:vAlign w:val="center"/>
          </w:tcPr>
          <w:p>
            <w:pPr>
              <w:pStyle w:val="TableContents"/>
              <w:bidi w:val="0"/>
              <w:spacing w:before="0" w:after="283"/>
              <w:jc w:val="left"/>
              <w:rPr>
                <w:b/>
              </w:rPr>
            </w:pPr>
            <w:r>
              <w:rPr>
                <w:b/>
              </w:rPr>
              <w:t>December 31, 2025</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10" w:space="0" w:color="000000"/>
            </w:tcBorders>
            <w:tcMar>
              <w:bottom w:w="28" w:type="dxa"/>
            </w:tcMar>
            <w:vAlign w:val="center"/>
          </w:tcPr>
          <w:p>
            <w:pPr>
              <w:pStyle w:val="TableContents"/>
              <w:bidi w:val="0"/>
              <w:spacing w:before="0" w:after="283"/>
              <w:jc w:val="right"/>
              <w:rPr>
                <w:b/>
              </w:rPr>
            </w:pPr>
            <w:r>
              <w:rPr>
                <w:b/>
              </w:rPr>
              <w:t>23,063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673" w:type="dxa"/>
            <w:tcBorders/>
            <w:vAlign w:val="center"/>
          </w:tcPr>
          <w:p>
            <w:pPr>
              <w:pStyle w:val="TableContents"/>
              <w:bidi w:val="0"/>
              <w:spacing w:before="0" w:after="0"/>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10" w:space="0" w:color="000000"/>
            </w:tcBorders>
            <w:tcMar>
              <w:bottom w:w="28" w:type="dxa"/>
            </w:tcMar>
            <w:vAlign w:val="center"/>
          </w:tcPr>
          <w:p>
            <w:pPr>
              <w:pStyle w:val="TableContents"/>
              <w:bidi w:val="0"/>
              <w:spacing w:before="0" w:after="283"/>
              <w:jc w:val="right"/>
              <w:rPr>
                <w:b/>
              </w:rPr>
            </w:pPr>
            <w:r>
              <w:rPr>
                <w:b/>
              </w:rPr>
              <w:t>14,532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10" w:space="0" w:color="000000"/>
            </w:tcBorders>
            <w:tcMar>
              <w:bottom w:w="28" w:type="dxa"/>
            </w:tcMar>
            <w:vAlign w:val="center"/>
          </w:tcPr>
          <w:p>
            <w:pPr>
              <w:pStyle w:val="TableContents"/>
              <w:bidi w:val="0"/>
              <w:spacing w:before="0" w:after="283"/>
              <w:jc w:val="right"/>
              <w:rPr>
                <w:b/>
              </w:rPr>
            </w:pPr>
            <w:r>
              <w:rPr>
                <w:b/>
              </w:rPr>
              <w:t>37,595</w:t>
            </w:r>
          </w:p>
        </w:tc>
        <w:tc>
          <w:tcPr>
            <w:tcW w:w="1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F-24</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Scilex Transaction Summary (continued)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sold 350,000 shares of common stock of Scilex. As of December 31, 2025, the Company no longer holds any shares of Scilex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Scilex securities described above are subject to a beneficial ownership limitation, which restricts the Company’s holdings to a maximum of 9.99% of Scilex’s outstanding shares at any time.</w:t>
      </w:r>
    </w:p>
    <w:p>
      <w:pPr>
        <w:pStyle w:val="TextBody"/>
        <w:bidi w:val="0"/>
        <w:spacing w:before="0" w:after="0"/>
        <w:ind w:left="720" w:right="0" w:hanging="0"/>
        <w:jc w:val="left"/>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105"/>
        <w:gridCol w:w="90"/>
        <w:gridCol w:w="2780"/>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Profit Sharing Loan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2024, the Company entered into a loan agreement (the “Profit Sharing Loan Agreement”) with Rabi Binyamin 4 Tama 38 Ltd. (the “Borrower”) to finance a real estate project (the “Project”). According to the terms of the Profit Sharing Loan Agreement, Oramed agreed to loan NIS 5.5 million ($1,523) (the “Loan Principal”) to the Borrower. NIS 4.7 million ($1,307) was loaned upon signing the Profit Sharing Loan Agreement and an additional NIS 0.8 million ($237) will be loaned upon achievement of certain milestones. On October 28, 2025, the Borrower met the milestones and became entitled to the additional payment.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Project, the Company is entitled to receive the Loan Principal and the greater of: (i) 20% annual interest of the Loan Principal and (ii) 40% of the Project profits.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2025, the Company loaned an additional NIS 0.5 million ($150) to the Borrower (“Additional Loan”). The Additional Loan bears an annual interest of 6% and shall be repaid by December 31, 2025. According to the Additional Loan agreement, the Company shall be entitled to instruct the Borrower that instead of repaying the Additional Loan on the maturity date, the principal amount of the loan, as well as any accrued interest up to the date of such notice, shall be deemed to constitute a loan amount provided by the Company, as part of the remaining portion of the Profit-Sharing Loan Agreement. As of December 31, 2025 the Additional Loan had not been repaid. The maturity date of the Additional Loan was subsequently extended to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decided to designate the Profit Sharing Loan Agreement as a whole under the Fair-Value option in accordance with Accounting Standards Codification (“ASC”) Topic 825 “Financial Instruments”. The valuation of the Profit Sharing Loan Agreement was based on various project profit scenarios. The Company used the Wang Transform model, a risk-neutral probabilities method, with an expected term of 2.67 years, a curve rate of 16.32% and a risk spread of 0.43%. The value of the Profit Sharing Loan Agreement and the Additional Loan as of December 31, 2025 was $1,890.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INVESTMENT IN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 Castel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Company entered into an agreement to acquire a parcel of land in Mevaseret Zion, Israel for a total purchase price of NIS 5,800 ($1,586). The transaction was structured as installment payments, and as of December 31, 2025, the Company had paid the full purchase price and presented the asset within real estate investment. The Company intends to pursue value-enhancing activities in connection with the land, with the goal of increasing its potential return upon future sale. The total paid amount is included under Investment in real estate.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F-25</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EQUITY METHOD INVESTEE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2024, the Company and certain other investors (“Additional Holders of Note B”) entered into a refinance agreement with Scilex. As part of the refinancing, the Company and the Additional Holders of Note B were granted rights to receive royalties from certain Scilex products. In connection with these rights, on January 2, 2025, the Additional Holders of Note B established RoyaltyVest Ltd. (“RoyaltyVest”), a company incorporated in the British Virgin Islands. On February 12, 2025, the Additional Holders of Note B transferred to the Company 50% of the issued and outstanding capital stock of RoyaltyVest.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hold a 50% equity interest in RoyaltyVest. The Company accounts for this investment using the equity method.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unrecognized losses, guarantees, or commitments related to RoyaltyVest. In addition, no impairment losses were recorded during the reporting periods.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original investment in RoyaltyVest, the Company is using RoyaltyVest as a potential investment vehicle for additional transactions conducted in collaboration with the other shareholders of RoyaltyVest.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On March 4, 2025, the Company entered into a loan agreement with RoyaltyVest pursuant to which the Company made a loan to RoyaltyVest in the amount of $7,000 to purchase shares of BioXcel Therapeutics, Inc. (Nasdaq: BTAI) (“BioXcel”). The loan is non-interest bearing and is non-recourse to the BioXcel shares. Repayment of the outstanding principal and yield shall be made from the proceeds of sales of BioXcel shares and warrants. The Company elected to measure the loan under the fair value option, and as such it is presented at fair value. During the year ended December 31, 2025, the Company received $6,251 of the principal amount from RoyaltyVest from the sales of BioXcel.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transactions below were carried out by RoyaltyVest:</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731"/>
        <w:gridCol w:w="9259"/>
      </w:tblGrid>
      <w:tr>
        <w:trPr/>
        <w:tc>
          <w:tcPr>
            <w:tcW w:w="21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rPr>
            </w:pPr>
            <w:r>
              <w:rPr>
                <w:b/>
              </w:rPr>
              <w:t>a.</w:t>
            </w:r>
          </w:p>
        </w:tc>
        <w:tc>
          <w:tcPr>
            <w:tcW w:w="9259" w:type="dxa"/>
            <w:tcBorders/>
            <w:vAlign w:val="center"/>
          </w:tcPr>
          <w:p>
            <w:pPr>
              <w:pStyle w:val="TableContents"/>
              <w:bidi w:val="0"/>
              <w:spacing w:before="0" w:after="283"/>
              <w:jc w:val="left"/>
              <w:rPr>
                <w:b/>
              </w:rPr>
            </w:pPr>
            <w:r>
              <w:rPr>
                <w:b/>
              </w:rPr>
              <w:t>ZTLido License Agreement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ROW License Term Sheet signed with Scilex under the Tranche B Note, on February 22, 2025, RoyaltyVest, entered into an additional License Agreement with Scilex (“ZTLido License Agreement”). Under the ZTLido License Agreement, RoyaltyVest acquired exclusive rights to develop, manufacture, and commercialize lidocaine-based products, including ZTLido (lidocaine topical system 1.8%) and SP-103, outside the United States. As part of the arrangement, RoyaltyVest and Scilex will each receive 50% of the net profits from the commercialization of these products.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rights to be provided under the proposed ZTLido License Agreement, as more fully described in the ZTLido License Agreement, (a) RoyaltyVest will invest (whether through cash consideration or in-kind payment through the provision of services) $200 per year toward expanding the Product, (b) Scilex will grant RoyaltyVest a worldwide, exclusive right, license and interest to all products rights for the development, out-licensing, commercialization of any Product outside of the United States and other territories, other than certain excluded designated territories ( “ROW Territory”), and (c) each of RoyaltyVest and Scilex will receive 50% percent of the net revenue (less expenses) generated from any product in the ROW Territory.</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626"/>
        <w:gridCol w:w="9406"/>
      </w:tblGrid>
      <w:tr>
        <w:trPr/>
        <w:tc>
          <w:tcPr>
            <w:tcW w:w="17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b/>
              </w:rPr>
            </w:pPr>
            <w:r>
              <w:rPr>
                <w:b/>
              </w:rPr>
              <w:t>b.</w:t>
            </w:r>
          </w:p>
        </w:tc>
        <w:tc>
          <w:tcPr>
            <w:tcW w:w="9406" w:type="dxa"/>
            <w:tcBorders/>
            <w:vAlign w:val="center"/>
          </w:tcPr>
          <w:p>
            <w:pPr>
              <w:pStyle w:val="TableContents"/>
              <w:bidi w:val="0"/>
              <w:spacing w:before="0" w:after="283"/>
              <w:jc w:val="left"/>
              <w:rPr>
                <w:b/>
              </w:rPr>
            </w:pPr>
            <w:r>
              <w:rPr>
                <w:b/>
              </w:rPr>
              <w:t>Ex-U.S. product rights to Gloperba</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RoyaltyVest entered into a worldwide (excluding the U.S.) license agreement for Gloperba products, as defined under the License and Commercialization Agreement between RxOmeg Therapeutics LLC and Scilex, dated June 14, 2022, as amended on January 16, 2025 (the “Gloperba License Agreement”). Under the Gloperba License Agreement, RoyaltyVest was granted an exclusive (including as to Scilex Pharma) license to all product-related rights worldwide to develop, manufacture, obtain regulatory approvals for, commercialize, and otherwise exploit the Gloperba products in the licensed territory. RoyaltyVest and Scilex will each be entitled to receive 50% of the net revenue generated from the commercialization of the Gloperba products.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F-26</w:t>
      </w:r>
    </w:p>
    <w:p>
      <w:pPr>
        <w:pStyle w:val="TextBody"/>
        <w:bidi w:val="0"/>
        <w:spacing w:before="0" w:after="0"/>
        <w:jc w:val="center"/>
        <w:rPr/>
      </w:pPr>
      <w:r>
        <w:rPr/>
        <w: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6 – EQUITY METHOD INVESTEE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1"/>
        <w:gridCol w:w="1870"/>
        <w:gridCol w:w="7744"/>
      </w:tblGrid>
      <w:tr>
        <w:trPr/>
        <w:tc>
          <w:tcPr>
            <w:tcW w:w="591"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b/>
              </w:rPr>
            </w:pPr>
            <w:r>
              <w:rPr>
                <w:b/>
              </w:rPr>
              <w:t>c.</w:t>
            </w:r>
          </w:p>
        </w:tc>
        <w:tc>
          <w:tcPr>
            <w:tcW w:w="7744"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BioXcel</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2025, RoyaltyVest participated in a registered direct offering by BioXcel, acquiring 188,383 shares of BioXcel’s common stock, 3,811,617 pre-funded warrants and accompanying warrants to purchase up to an additional 4,000,000 shares for a total consideration of $14,000. The warrants have an exercise price of $4.20 per share, are immediately exercisable, and will expire five years from the date of issuance. The pre-funded warrants have an exercise price of $0.001 per share, and are immediately exercisable with no expiration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RoyaltyVest sold 4,000,000 shares and 2,600,000 warrants for $12,502. As of December 31, 2025, RoyaltyVest continues to hold 1,400,000 warrants and no longer holds any shares of BioXcel common stock.</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LOAN AGREEMENT MEASURED IN FAIR VALUE</w:t>
      </w:r>
    </w:p>
    <w:p>
      <w:pPr>
        <w:pStyle w:val="TextBody"/>
        <w:bidi w:val="0"/>
        <w:spacing w:before="0" w:after="0"/>
        <w:ind w:left="77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2025, the Company entered into a loan agreement with Hapisga Project – New Talpiot Ltd. to finance a purchase of a real estate asset in Jerusalem, Israel in the amount of up to $22,650 (“Hapisga”). The Company lent the amount with a one-year maturity, and a lien was registered on the property reflecting a commitment to register a first-ranking mortgage on a property, which is valued at approximately $890,000, providing significant collateral coverage. The loan bears an annual interest rate of 12%.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March 2025, the Company entered into an additional loan agreement with Tova Chochma Im Nachala Ltd. (“Tova Chochma”) in the amount of $5,000. The loan bears an annual interest rate of 12%. The original maturity of the loan was set to be 14 days which was further extended, in April 2025, to up to 12 months. Tova Chochma can repay the loan at any time, with interest accruing until the date of actual repayment (but in no event, less than 6 months). This loan is also secured by the registration of the lien for Hapisga.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loaned $26,921 in connection with the loans to Hapisga and to Tova Chochma.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Tova Chochma repaid an amount of $500 to the Company, which will be offset against final repayment of the loan. The deposit amount does not accrue interest and therefore, the Company will be eligible for the entire interest on Tova Chochma’s portion of the loan’s principal.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decided to designate the loan agreement as a whole under the fair-value option in accordance with ASC Topic 825 “Financial Instruments”. The valuation of the loan agreement was calculated in accordance with the weighted average expected cashflows of the loan. The predicted weighted average cash flows of the loan were discounted at a rate of 9.31%-24.43%. The value of the loan as of December 31, 2025 was $27,943. The changes in the fair value of the loan are recorded in the financial income (loss), net.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breakdown as of December 31, 2025:</w:t>
      </w:r>
    </w:p>
    <w:p>
      <w:pPr>
        <w:pStyle w:val="TextBody"/>
        <w:bidi w:val="0"/>
        <w:spacing w:before="0" w:after="0"/>
        <w:ind w:left="720" w:right="0" w:hanging="0"/>
        <w:jc w:val="both"/>
        <w:rPr>
          <w:caps w:val="false"/>
          <w:smallCaps w:val="false"/>
        </w:rPr>
      </w:pPr>
      <w:r>
        <w:rPr>
          <w:caps w:val="false"/>
          <w:smallCaps w:val="false"/>
        </w:rPr>
        <w:t> </w:t>
      </w:r>
    </w:p>
    <w:tbl>
      <w:tblPr>
        <w:tblW w:w="7659" w:type="dxa"/>
        <w:jc w:val="left"/>
        <w:tblInd w:w="0" w:type="dxa"/>
        <w:tblLayout w:type="fixed"/>
        <w:tblCellMar>
          <w:top w:w="0" w:type="dxa"/>
          <w:left w:w="0" w:type="dxa"/>
          <w:bottom w:w="0" w:type="dxa"/>
          <w:right w:w="0" w:type="dxa"/>
        </w:tblCellMar>
      </w:tblPr>
      <w:tblGrid>
        <w:gridCol w:w="3620"/>
        <w:gridCol w:w="90"/>
        <w:gridCol w:w="170"/>
        <w:gridCol w:w="710"/>
        <w:gridCol w:w="90"/>
        <w:gridCol w:w="90"/>
        <w:gridCol w:w="362"/>
        <w:gridCol w:w="1262"/>
        <w:gridCol w:w="125"/>
        <w:gridCol w:w="90"/>
        <w:gridCol w:w="170"/>
        <w:gridCol w:w="710"/>
        <w:gridCol w:w="170"/>
      </w:tblGrid>
      <w:tr>
        <w:trPr/>
        <w:tc>
          <w:tcPr>
            <w:tcW w:w="3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Hapisga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Tova Chochma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Loan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21,921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2"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283"/>
              <w:jc w:val="right"/>
              <w:rPr/>
            </w:pPr>
            <w:r>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26,921</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Loan repayment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283"/>
              <w:jc w:val="right"/>
              <w:rPr/>
            </w:pPr>
            <w:r>
              <w:rPr/>
              <w:t>(500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(500</w:t>
            </w:r>
          </w:p>
        </w:tc>
        <w:tc>
          <w:tcPr>
            <w:tcW w:w="170" w:type="dxa"/>
            <w:tcBorders/>
            <w:vAlign w:val="center"/>
          </w:tcPr>
          <w:p>
            <w:pPr>
              <w:pStyle w:val="TableContents"/>
              <w:bidi w:val="0"/>
              <w:spacing w:before="0" w:after="283"/>
              <w:jc w:val="left"/>
              <w:rPr/>
            </w:pPr>
            <w:r>
              <w:rPr/>
              <w:t>)</w:t>
            </w:r>
          </w:p>
        </w:tc>
      </w:tr>
      <w:tr>
        <w:trPr/>
        <w:tc>
          <w:tcPr>
            <w:tcW w:w="3620" w:type="dxa"/>
            <w:tcBorders/>
            <w:shd w:fill="CCEEFF" w:val="clear"/>
            <w:vAlign w:val="center"/>
          </w:tcPr>
          <w:p>
            <w:pPr>
              <w:pStyle w:val="TableContents"/>
              <w:bidi w:val="0"/>
              <w:spacing w:before="0" w:after="283"/>
              <w:jc w:val="left"/>
              <w:rPr/>
            </w:pPr>
            <w:r>
              <w:rPr/>
              <w:t>Fair value measurement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1,263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6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single" w:sz="12" w:space="0" w:color="000000"/>
            </w:tcBorders>
            <w:shd w:fill="CCEEFF" w:val="clear"/>
            <w:tcMar>
              <w:bottom w:w="28" w:type="dxa"/>
            </w:tcMar>
            <w:vAlign w:val="center"/>
          </w:tcPr>
          <w:p>
            <w:pPr>
              <w:pStyle w:val="TableContents"/>
              <w:bidi w:val="0"/>
              <w:spacing w:before="0" w:after="283"/>
              <w:jc w:val="right"/>
              <w:rPr/>
            </w:pPr>
            <w:r>
              <w:rPr/>
              <w:t>259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1,522</w:t>
            </w:r>
          </w:p>
        </w:tc>
        <w:tc>
          <w:tcPr>
            <w:tcW w:w="17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Fair value as of December 31, 2025</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10" w:space="0" w:color="000000"/>
            </w:tcBorders>
            <w:tcMar>
              <w:bottom w:w="28" w:type="dxa"/>
            </w:tcMar>
            <w:vAlign w:val="center"/>
          </w:tcPr>
          <w:p>
            <w:pPr>
              <w:pStyle w:val="TableContents"/>
              <w:bidi w:val="0"/>
              <w:spacing w:before="0" w:after="283"/>
              <w:jc w:val="right"/>
              <w:rPr>
                <w:b/>
              </w:rPr>
            </w:pPr>
            <w:r>
              <w:rPr>
                <w:b/>
              </w:rPr>
              <w:t>23,184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2"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262" w:type="dxa"/>
            <w:tcBorders>
              <w:bottom w:val="double" w:sz="10" w:space="0" w:color="000000"/>
            </w:tcBorders>
            <w:tcMar>
              <w:bottom w:w="28" w:type="dxa"/>
            </w:tcMar>
            <w:vAlign w:val="center"/>
          </w:tcPr>
          <w:p>
            <w:pPr>
              <w:pStyle w:val="TableContents"/>
              <w:bidi w:val="0"/>
              <w:spacing w:before="0" w:after="283"/>
              <w:jc w:val="right"/>
              <w:rPr>
                <w:b/>
              </w:rPr>
            </w:pPr>
            <w:r>
              <w:rPr>
                <w:b/>
              </w:rPr>
              <w:t>4,759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710" w:type="dxa"/>
            <w:tcBorders>
              <w:bottom w:val="double" w:sz="10" w:space="0" w:color="000000"/>
            </w:tcBorders>
            <w:tcMar>
              <w:bottom w:w="28" w:type="dxa"/>
            </w:tcMar>
            <w:vAlign w:val="center"/>
          </w:tcPr>
          <w:p>
            <w:pPr>
              <w:pStyle w:val="TableContents"/>
              <w:bidi w:val="0"/>
              <w:spacing w:before="0" w:after="283"/>
              <w:jc w:val="right"/>
              <w:rPr>
                <w:b/>
              </w:rPr>
            </w:pPr>
            <w:r>
              <w:rPr>
                <w:b/>
              </w:rPr>
              <w:t>27,943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F-27</w:t>
      </w:r>
    </w:p>
    <w:p>
      <w:pPr>
        <w:pStyle w:val="TextBody"/>
        <w:bidi w:val="0"/>
        <w:spacing w:before="0" w:after="0"/>
        <w:jc w:val="center"/>
        <w:rPr/>
      </w:pPr>
      <w:r>
        <w:rPr/>
        <w:t> </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INVESTMENT IN ASSOCIATE AT FAIR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the Subsidiary entered into a share purchase agreement with Alpha Tau (“Alpha Tau SPA”), pursuant to which the Subsidiary purchased 14,110,121 (16.65%) ordinary shares, no par value per share, of Alpha Tau in a registered direct offering at a price of $2.612 per share, for an aggregate purchase price of $36,900. The closing of the transaction occurred on April 28, 2025. In connection with the investment, the Subsidiary has the right to nominate two out of eight directors to Alpha Tau’s board of directors, subject to certain conditions. In addition, since the Alpha Tau SPA date and until December 31, 2025, the Company purchased an additional 359,214 shares of Alpha Tau for an aggregate amount of $1,256.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Subsidiary and Alpha Tau entered into the Services Agreement, pursuant to which the Subsidiary will provide Alpha Tau with investor relations and public relations services. As consideration, Alpha Tau agreed to pay the Subsidiary a fee of $3,000 over three years and to issue to the Subsidiary fully vested warrants to purchase up to 3,237,000 ordinary shares of Alpha Tau, at exercise prices ranging from $3.474 to $3.90 per share (“Alpha Tau Warrants”), which are immediately exercisable. The term of the Service Agreement is three years, with limited termination rights. Amounts recognized under this arrangement are presented under “other income, net” in the consolidated statement of comprehensive income.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significant influence over operating and financial policies, Alpha Tau is considered a related party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summarized financial information related to Alpha Tau as of December 31, 2025. Alpha Tau is a publicly traded company listed on the Nasdaq Capital Market, and its financial information is based on publicly available filings.</w:t>
      </w:r>
    </w:p>
    <w:p>
      <w:pPr>
        <w:pStyle w:val="TextBody"/>
        <w:bidi w:val="0"/>
        <w:spacing w:before="0" w:after="0"/>
        <w:ind w:left="720" w:right="0" w:hanging="0"/>
        <w:jc w:val="both"/>
        <w:rPr>
          <w:caps w:val="false"/>
          <w:smallCaps w:val="false"/>
        </w:rPr>
      </w:pPr>
      <w:r>
        <w:rPr>
          <w:caps w:val="false"/>
          <w:smallCaps w:val="false"/>
        </w:rPr>
        <w:t> </w:t>
      </w:r>
    </w:p>
    <w:tbl>
      <w:tblPr>
        <w:tblW w:w="5514" w:type="dxa"/>
        <w:jc w:val="left"/>
        <w:tblInd w:w="0" w:type="dxa"/>
        <w:tblLayout w:type="fixed"/>
        <w:tblCellMar>
          <w:top w:w="0" w:type="dxa"/>
          <w:left w:w="0" w:type="dxa"/>
          <w:bottom w:w="0" w:type="dxa"/>
          <w:right w:w="0" w:type="dxa"/>
        </w:tblCellMar>
      </w:tblPr>
      <w:tblGrid>
        <w:gridCol w:w="4085"/>
        <w:gridCol w:w="90"/>
        <w:gridCol w:w="204"/>
        <w:gridCol w:w="1000"/>
        <w:gridCol w:w="135"/>
      </w:tblGrid>
      <w:tr>
        <w:trPr/>
        <w:tc>
          <w:tcPr>
            <w:tcW w:w="4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Cash</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12,202</w:t>
            </w:r>
          </w:p>
        </w:tc>
        <w:tc>
          <w:tcPr>
            <w:tcW w:w="13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b/>
              </w:rPr>
            </w:pPr>
            <w:r>
              <w:rPr>
                <w:b/>
              </w:rPr>
              <w:t>Short-term deposits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60,924</w:t>
            </w:r>
          </w:p>
        </w:tc>
        <w:tc>
          <w:tcPr>
            <w:tcW w:w="13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Other current assets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5,172</w:t>
            </w:r>
          </w:p>
        </w:tc>
        <w:tc>
          <w:tcPr>
            <w:tcW w:w="13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27,354</w:t>
            </w:r>
          </w:p>
        </w:tc>
        <w:tc>
          <w:tcPr>
            <w:tcW w:w="13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105,652</w:t>
            </w:r>
          </w:p>
        </w:tc>
        <w:tc>
          <w:tcPr>
            <w:tcW w:w="13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10,507</w:t>
            </w:r>
          </w:p>
        </w:tc>
        <w:tc>
          <w:tcPr>
            <w:tcW w:w="13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Non-current liabilities</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18,046</w:t>
            </w:r>
          </w:p>
        </w:tc>
        <w:tc>
          <w:tcPr>
            <w:tcW w:w="13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b/>
              </w:rPr>
            </w:pPr>
            <w:r>
              <w:rPr>
                <w:b/>
              </w:rPr>
              <w:t>Shareholders’ equity</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77,099</w:t>
            </w:r>
          </w:p>
        </w:tc>
        <w:tc>
          <w:tcPr>
            <w:tcW w:w="13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Total liabilities and stockholders’ deficit</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105,652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830"/>
        <w:gridCol w:w="90"/>
        <w:gridCol w:w="313"/>
        <w:gridCol w:w="1312"/>
        <w:gridCol w:w="135"/>
      </w:tblGrid>
      <w:tr>
        <w:trPr/>
        <w:tc>
          <w:tcPr>
            <w:tcW w:w="8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24, 2025 -</w:t>
              <w:br/>
              <w:t>December 31,</w:t>
              <w:br/>
              <w:t>2025</w:t>
            </w:r>
          </w:p>
        </w:tc>
        <w:tc>
          <w:tcPr>
            <w:tcW w:w="135" w:type="dxa"/>
            <w:tcBorders/>
            <w:vAlign w:val="center"/>
          </w:tcPr>
          <w:p>
            <w:pPr>
              <w:pStyle w:val="TableContents"/>
              <w:bidi w:val="0"/>
              <w:spacing w:before="0" w:after="283"/>
              <w:jc w:val="left"/>
              <w:rPr/>
            </w:pPr>
            <w:r>
              <w:rPr/>
              <w:t> </w:t>
            </w:r>
          </w:p>
        </w:tc>
      </w:tr>
      <w:tr>
        <w:trPr/>
        <w:tc>
          <w:tcPr>
            <w:tcW w:w="83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29,313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presented above reflects Alpha Tau’s total net loss for the period and is calculated on a straight-line basis, as there were no significant transactions during the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INVESTMENT IN ASSOCIATE AT FAIR VALUE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and December 31, 2025, the fair value of the Company’s investment in Alpha Tau was $36,885 and $71,623, respectively. The Company recognized an unrealized gain on its investment in Alpha Tau of $36,997 in the consolidated statement of comprehensive income (loss) for the year ended December 31, 2025. The fair value of Alpha Tau’s ordinary shares held by the Company was determined using the closing price of Alpha Tau’s ordinary shares on April 24, 2025 and December 31, 2025 of $2.612 and $4.95, respectively. On April 24, 2025 and December 31, 2025, the Company held approximately 17% of Alpha Tau’s ordinary shares’ voting interest.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under the Services Agreement are accounted for as a separate transaction from the Alpha Tau SPA. The fair value of the warrants is calculated based on Black-Scholes model.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Presented below is the summary of the assumptions and estimates that were used for the valuation of the Alpha Tau warrants as of June 23, 2025, the issuance date, and December 31, 2025:</w:t>
      </w:r>
    </w:p>
    <w:p>
      <w:pPr>
        <w:pStyle w:val="TextBody"/>
        <w:bidi w:val="0"/>
        <w:spacing w:before="0" w:after="0"/>
        <w:ind w:left="720" w:right="0" w:hanging="0"/>
        <w:jc w:val="both"/>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3050"/>
        <w:gridCol w:w="90"/>
        <w:gridCol w:w="170"/>
        <w:gridCol w:w="875"/>
        <w:gridCol w:w="245"/>
        <w:gridCol w:w="90"/>
        <w:gridCol w:w="310"/>
        <w:gridCol w:w="1135"/>
        <w:gridCol w:w="290"/>
      </w:tblGrid>
      <w:tr>
        <w:trPr/>
        <w:tc>
          <w:tcPr>
            <w:tcW w:w="30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290" w:type="dxa"/>
            <w:tcBorders/>
            <w:vAlign w:val="center"/>
          </w:tcPr>
          <w:p>
            <w:pPr>
              <w:pStyle w:val="TableContents"/>
              <w:bidi w:val="0"/>
              <w:spacing w:before="0" w:after="283"/>
              <w:jc w:val="left"/>
              <w:rPr/>
            </w:pPr>
            <w:r>
              <w:rPr/>
              <w:t> </w:t>
            </w:r>
          </w:p>
        </w:tc>
      </w:tr>
      <w:tr>
        <w:trPr/>
        <w:tc>
          <w:tcPr>
            <w:tcW w:w="3050" w:type="dxa"/>
            <w:tcBorders>
              <w:bottom w:val="single" w:sz="12" w:space="0" w:color="000000"/>
            </w:tcBorders>
            <w:tcMar>
              <w:bottom w:w="28" w:type="dxa"/>
            </w:tcMar>
            <w:vAlign w:val="center"/>
          </w:tcPr>
          <w:p>
            <w:pPr>
              <w:pStyle w:val="TableContents"/>
              <w:bidi w:val="0"/>
              <w:spacing w:before="0" w:after="283"/>
              <w:jc w:val="left"/>
              <w:rPr>
                <w:b/>
              </w:rPr>
            </w:pPr>
            <w:r>
              <w:rPr>
                <w:b/>
              </w:rPr>
              <w:t>Parameters and Assumptions</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23, </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9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b/>
              </w:rPr>
            </w:pPr>
            <w:r>
              <w:rPr>
                <w:b/>
              </w:rPr>
              <w:t>Share Price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2.985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135" w:type="dxa"/>
            <w:tcBorders/>
            <w:shd w:fill="CCEEFF" w:val="clear"/>
            <w:vAlign w:val="center"/>
          </w:tcPr>
          <w:p>
            <w:pPr>
              <w:pStyle w:val="TableContents"/>
              <w:bidi w:val="0"/>
              <w:spacing w:before="0" w:after="283"/>
              <w:jc w:val="right"/>
              <w:rPr/>
            </w:pPr>
            <w:r>
              <w:rPr/>
              <w:t>4.95</w:t>
            </w:r>
          </w:p>
        </w:tc>
        <w:tc>
          <w:tcPr>
            <w:tcW w:w="29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b/>
              </w:rPr>
            </w:pPr>
            <w:r>
              <w:rPr>
                <w:b/>
              </w:rPr>
              <w:t>Exercise Price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$ 3.47-3.9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$ 3.47-3.9</w:t>
            </w:r>
          </w:p>
        </w:tc>
        <w:tc>
          <w:tcPr>
            <w:tcW w:w="290"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b/>
              </w:rPr>
            </w:pPr>
            <w:r>
              <w:rPr>
                <w:b/>
              </w:rPr>
              <w:t>Expected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1.81</w:t>
            </w:r>
          </w:p>
        </w:tc>
        <w:tc>
          <w:tcPr>
            <w:tcW w:w="290"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b/>
              </w:rPr>
            </w:pPr>
            <w:r>
              <w:rPr>
                <w:b/>
              </w:rPr>
              <w:t>Volatility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55.61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49.04</w:t>
            </w:r>
          </w:p>
        </w:tc>
        <w:tc>
          <w:tcPr>
            <w:tcW w:w="290" w:type="dxa"/>
            <w:tcBorders/>
            <w:vAlign w:val="center"/>
          </w:tcPr>
          <w:p>
            <w:pPr>
              <w:pStyle w:val="TableContents"/>
              <w:bidi w:val="0"/>
              <w:spacing w:before="0" w:after="283"/>
              <w:jc w:val="left"/>
              <w:rPr/>
            </w:pPr>
            <w:r>
              <w:rPr/>
              <w:t>%</w:t>
            </w:r>
          </w:p>
        </w:tc>
      </w:tr>
      <w:tr>
        <w:trPr/>
        <w:tc>
          <w:tcPr>
            <w:tcW w:w="3050" w:type="dxa"/>
            <w:tcBorders/>
            <w:shd w:fill="CCEEFF" w:val="clear"/>
            <w:vAlign w:val="center"/>
          </w:tcPr>
          <w:p>
            <w:pPr>
              <w:pStyle w:val="TableContents"/>
              <w:bidi w:val="0"/>
              <w:spacing w:before="0" w:after="283"/>
              <w:jc w:val="left"/>
              <w:rPr>
                <w:b/>
              </w:rPr>
            </w:pPr>
            <w:r>
              <w:rPr>
                <w:b/>
              </w:rPr>
              <w:t>Risk Free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3.47</w:t>
            </w:r>
          </w:p>
        </w:tc>
        <w:tc>
          <w:tcPr>
            <w:tcW w:w="290" w:type="dxa"/>
            <w:tcBorders/>
            <w:shd w:fill="CCEEFF" w:val="clear"/>
            <w:vAlign w:val="center"/>
          </w:tcPr>
          <w:p>
            <w:pPr>
              <w:pStyle w:val="TableContents"/>
              <w:bidi w:val="0"/>
              <w:spacing w:before="0" w:after="283"/>
              <w:jc w:val="left"/>
              <w:rPr/>
            </w:pPr>
            <w:r>
              <w:rPr/>
              <w:t>%</w:t>
            </w:r>
          </w:p>
        </w:tc>
      </w:tr>
      <w:tr>
        <w:trPr/>
        <w:tc>
          <w:tcPr>
            <w:tcW w:w="3050" w:type="dxa"/>
            <w:tcBorders/>
            <w:vAlign w:val="center"/>
          </w:tcPr>
          <w:p>
            <w:pPr>
              <w:pStyle w:val="TableContents"/>
              <w:bidi w:val="0"/>
              <w:spacing w:before="0" w:after="283"/>
              <w:jc w:val="left"/>
              <w:rPr>
                <w:b/>
              </w:rPr>
            </w:pPr>
            <w:r>
              <w:rPr>
                <w:b/>
              </w:rPr>
              <w:t>Dividend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135"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23, 2025, the issuance date, the fair value of the Alpha Tau warrants was $2,727. As of December 31, 2025, the fair value of the Alpha Tau warrants was $6,242. The change in fair value is recognized under “financial income (loss), net”.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CONVERTIBLE SECURED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2025, in anticipation of the transactions contemplated by the Lifeward Share Purchase Agreement and the Lifeward Notes Purchase Agreement described below, the Company entered into a loan agreement with Lifeward Ltd.(“Lifeward”) pursuant to which the Company provided Lifeward with a $3,000 secured promissory note bearing interest at 15% per annum and maturing on May 14, 2026, unless earlier repaid or converted in accordance with its terms. The note is secured by a lien on Lifeward’s cash and accounts receivable.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and accrued interest under the note are convertible into Lifeward ordinary shares at a conversion price of $5.40 per share, reflecting Lifeward’s 12-for-1 reverse share split effected on February 24, 2026, which adjusted the original conversion price of $0.45 per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in accordance with ASC 825-10, Financial Instruments, for the Secured Promissory Note. As a result, the Secured Promissory Note is measured at fair value, with changes in fair value recognized in the comprehensive income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F-29</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 CONVERTIBLE SECURED PROMISSORY NOTE </w:t>
      </w:r>
      <w:r>
        <w:rPr>
          <w:rFonts w:ascii="Times New Roman;Times;Serif" w:hAnsi="Times New Roman;Times;Serif"/>
          <w:b w:val="false"/>
          <w:i w:val="false"/>
          <w:caps w:val="false"/>
          <w:smallCaps w:val="false"/>
          <w:sz w:val="20"/>
        </w:rPr>
        <w:t>(continued):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Secured Promissory Note was performed based on the binomial model, using a discount rate of 32%. Presented below is the summary of the assumptions and estimates that were used for the valuation as of December 31, 2025:</w:t>
      </w:r>
    </w:p>
    <w:p>
      <w:pPr>
        <w:pStyle w:val="TextBody"/>
        <w:bidi w:val="0"/>
        <w:spacing w:before="0" w:after="0"/>
        <w:ind w:left="709" w:right="0" w:hanging="0"/>
        <w:jc w:val="both"/>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3050"/>
        <w:gridCol w:w="90"/>
        <w:gridCol w:w="170"/>
        <w:gridCol w:w="1190"/>
        <w:gridCol w:w="290"/>
      </w:tblGrid>
      <w:tr>
        <w:trPr/>
        <w:tc>
          <w:tcPr>
            <w:tcW w:w="3050" w:type="dxa"/>
            <w:tcBorders>
              <w:bottom w:val="single" w:sz="12" w:space="0" w:color="000000"/>
            </w:tcBorders>
            <w:vAlign w:val="center"/>
          </w:tcPr>
          <w:p>
            <w:pPr>
              <w:pStyle w:val="TableContents"/>
              <w:bidi w:val="0"/>
              <w:spacing w:before="0" w:after="283"/>
              <w:jc w:val="left"/>
              <w:rPr>
                <w:b/>
              </w:rPr>
            </w:pPr>
            <w:r>
              <w:rPr>
                <w:b/>
              </w:rPr>
              <w:t>Parameters and Assumptions</w:t>
            </w:r>
          </w:p>
        </w:tc>
        <w:tc>
          <w:tcPr>
            <w:tcW w:w="90" w:type="dxa"/>
            <w:tcBorders/>
            <w:tcMar>
              <w:bottom w:w="0" w:type="dxa"/>
            </w:tcMar>
            <w:vAlign w:val="center"/>
          </w:tcPr>
          <w:p>
            <w:pPr>
              <w:pStyle w:val="TableContents"/>
              <w:bidi w:val="0"/>
              <w:spacing w:before="0" w:after="283"/>
              <w:jc w:val="left"/>
              <w:rPr/>
            </w:pPr>
            <w:r>
              <w:rPr/>
              <w:t> </w:t>
            </w:r>
          </w:p>
        </w:tc>
        <w:tc>
          <w:tcPr>
            <w:tcW w:w="1360" w:type="dxa"/>
            <w:gridSpan w:val="2"/>
            <w:tcBorders/>
            <w:tcMar>
              <w:bottom w:w="0" w:type="dxa"/>
            </w:tcMar>
            <w:vAlign w:val="center"/>
          </w:tcPr>
          <w:p>
            <w:pPr>
              <w:pStyle w:val="TableContents"/>
              <w:bidi w:val="0"/>
              <w:spacing w:before="0" w:after="283"/>
              <w:jc w:val="right"/>
              <w:rPr/>
            </w:pPr>
            <w:r>
              <w:rPr/>
              <w:t> </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Share Price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w:t>
            </w:r>
          </w:p>
        </w:tc>
        <w:tc>
          <w:tcPr>
            <w:tcW w:w="1190" w:type="dxa"/>
            <w:tcBorders/>
            <w:shd w:fill="CCEEFF" w:val="clear"/>
            <w:tcMar>
              <w:bottom w:w="0" w:type="dxa"/>
            </w:tcMar>
            <w:vAlign w:val="center"/>
          </w:tcPr>
          <w:p>
            <w:pPr>
              <w:pStyle w:val="TableContents"/>
              <w:bidi w:val="0"/>
              <w:spacing w:before="0" w:after="283"/>
              <w:jc w:val="right"/>
              <w:rPr/>
            </w:pPr>
            <w:r>
              <w:rPr/>
              <w:t>0.58</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rPr>
            </w:pPr>
            <w:r>
              <w:rPr>
                <w:b/>
              </w:rPr>
              <w:t>Conversion Rate</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0.45</w:t>
            </w:r>
          </w:p>
        </w:tc>
        <w:tc>
          <w:tcPr>
            <w:tcW w:w="290"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b/>
              </w:rPr>
            </w:pPr>
            <w:r>
              <w:rPr>
                <w:b/>
              </w:rPr>
              <w:t>Maturity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May 14, 2026</w:t>
            </w:r>
          </w:p>
        </w:tc>
        <w:tc>
          <w:tcPr>
            <w:tcW w:w="290"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tcMar>
              <w:bottom w:w="0" w:type="dxa"/>
            </w:tcMar>
            <w:vAlign w:val="center"/>
          </w:tcPr>
          <w:p>
            <w:pPr>
              <w:pStyle w:val="TableContents"/>
              <w:bidi w:val="0"/>
              <w:spacing w:before="0" w:after="283"/>
              <w:jc w:val="left"/>
              <w:rPr>
                <w:b/>
              </w:rPr>
            </w:pPr>
            <w:r>
              <w:rPr>
                <w:b/>
              </w:rPr>
              <w:t>Volatility</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113.38</w:t>
            </w:r>
          </w:p>
        </w:tc>
        <w:tc>
          <w:tcPr>
            <w:tcW w:w="290" w:type="dxa"/>
            <w:tcBorders/>
            <w:tcMar>
              <w:bottom w:w="0" w:type="dxa"/>
            </w:tcMar>
            <w:vAlign w:val="center"/>
          </w:tcPr>
          <w:p>
            <w:pPr>
              <w:pStyle w:val="TableContents"/>
              <w:bidi w:val="0"/>
              <w:spacing w:before="0" w:after="283"/>
              <w:jc w:val="left"/>
              <w:rPr/>
            </w:pPr>
            <w:r>
              <w:rPr/>
              <w:t>%</w:t>
            </w:r>
          </w:p>
        </w:tc>
      </w:tr>
      <w:tr>
        <w:trPr/>
        <w:tc>
          <w:tcPr>
            <w:tcW w:w="3050" w:type="dxa"/>
            <w:tcBorders/>
            <w:shd w:fill="CCEEFF" w:val="clear"/>
            <w:tcMar>
              <w:bottom w:w="0" w:type="dxa"/>
            </w:tcMar>
            <w:vAlign w:val="center"/>
          </w:tcPr>
          <w:p>
            <w:pPr>
              <w:pStyle w:val="TableContents"/>
              <w:bidi w:val="0"/>
              <w:spacing w:before="0" w:after="283"/>
              <w:jc w:val="left"/>
              <w:rPr>
                <w:b/>
              </w:rPr>
            </w:pPr>
            <w:r>
              <w:rPr>
                <w:b/>
              </w:rPr>
              <w:t>Risk Free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pPr>
            <w:r>
              <w:rPr/>
              <w:t>3.30</w:t>
            </w:r>
          </w:p>
        </w:tc>
        <w:tc>
          <w:tcPr>
            <w:tcW w:w="290" w:type="dxa"/>
            <w:tcBorders/>
            <w:shd w:fill="CCEEFF" w:val="clear"/>
            <w:tcMar>
              <w:bottom w:w="0" w:type="dxa"/>
            </w:tcMar>
            <w:vAlign w:val="center"/>
          </w:tcPr>
          <w:p>
            <w:pPr>
              <w:pStyle w:val="TableContents"/>
              <w:bidi w:val="0"/>
              <w:spacing w:before="0" w:after="283"/>
              <w:jc w:val="left"/>
              <w:rPr/>
            </w:pPr>
            <w:r>
              <w:rPr/>
              <w:t>%</w:t>
            </w:r>
          </w:p>
        </w:tc>
      </w:tr>
      <w:tr>
        <w:trPr/>
        <w:tc>
          <w:tcPr>
            <w:tcW w:w="3050" w:type="dxa"/>
            <w:tcBorders/>
            <w:tcMar>
              <w:bottom w:w="0" w:type="dxa"/>
            </w:tcMar>
            <w:vAlign w:val="center"/>
          </w:tcPr>
          <w:p>
            <w:pPr>
              <w:pStyle w:val="TableContents"/>
              <w:bidi w:val="0"/>
              <w:spacing w:before="0" w:after="283"/>
              <w:jc w:val="left"/>
              <w:rPr>
                <w:b/>
              </w:rPr>
            </w:pPr>
            <w:r>
              <w:rPr>
                <w:b/>
              </w:rPr>
              <w:t>Yield</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right"/>
              <w:rPr/>
            </w:pPr>
            <w:r>
              <w:rPr/>
              <w:t>27.76</w:t>
            </w:r>
          </w:p>
        </w:tc>
        <w:tc>
          <w:tcPr>
            <w:tcW w:w="290"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Secured Promissory Note was $4,637. For the year ended December 31, 2025, the Company recognized a gain of $1,637 related to changes in the fair value of the Secured Promissory Note, which is included in financial income (expense), net in the consolidated statements of comprehensive income (loss). For further details, see note 21.</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OTHER NON-MARKETABLE EQUITY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30"/>
        <w:gridCol w:w="9908"/>
      </w:tblGrid>
      <w:tr>
        <w:trPr/>
        <w:tc>
          <w:tcPr>
            <w:tcW w:w="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a.</w:t>
            </w:r>
          </w:p>
        </w:tc>
        <w:tc>
          <w:tcPr>
            <w:tcW w:w="9908" w:type="dxa"/>
            <w:tcBorders/>
            <w:vAlign w:val="center"/>
          </w:tcPr>
          <w:p>
            <w:pPr>
              <w:pStyle w:val="TableContents"/>
              <w:bidi w:val="0"/>
              <w:spacing w:before="0" w:after="283"/>
              <w:jc w:val="both"/>
              <w:rPr/>
            </w:pPr>
            <w:r>
              <w:rPr/>
              <w:t>On August 26, 2022, the Company entered into a stock purchase agreement with Diasome Pharmaceuticals, Inc. (“Diasome”), a privately-held company, pursuant to which the Company purchased shares of Series B preferred stock of Diasome for an aggregate purchase price of approximately $2,700. Following the purchase, the Company holds less than 5% of the issued and outstanding stock of Diasome. The stock purchase agreement provides the Company with the option to purchase additional preferred shares of stock on a pro rata basis at similar terms to the terms and conditions of the current round contingent upon Diasome achieving certain milestones.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non-marketable equity securities are an investment in a company without a readily determinable fair value. The Company accounts for this investment under the measurement alternative in ASC 321, whereby the equity investment is recorded at cost, less impairment. The carrying amount is subsequently remeasured to its fair value in accordance with the provisions of ASC 820 when observable price changes occur as of the date the transaction occurred, or it is impaired. Any adjustments to the carrying amount are recorded in the consolidated statements of comprehensive income (loss).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there was no change in the value of the Diasome investment.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ACCOUNTS PAYABLE AND ACCRUED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5"/>
        <w:gridCol w:w="9892"/>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9892" w:type="dxa"/>
            <w:tcBorders/>
            <w:vAlign w:val="center"/>
          </w:tcPr>
          <w:p>
            <w:pPr>
              <w:pStyle w:val="TableContents"/>
              <w:bidi w:val="0"/>
              <w:spacing w:before="0" w:after="283"/>
              <w:jc w:val="both"/>
              <w:rPr/>
            </w:pPr>
            <w:r>
              <w:rPr/>
              <w:t>On December 25, 2025, the Company entered into a Simple Agreement for Future Equity (“SAFE”) with NINA Medical Ltd. (“Nina”), a privately-held company, pursuant to which the Company provided funding of $100 to Nina. Under the terms of the SAFE, the investor will be entitled to receive preferred shares of Nina in a future equity financing round or upon certain triggering events. The SAFE does not bear interest and has no maturity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960"/>
        <w:gridCol w:w="90"/>
        <w:gridCol w:w="170"/>
        <w:gridCol w:w="590"/>
        <w:gridCol w:w="90"/>
        <w:gridCol w:w="90"/>
        <w:gridCol w:w="170"/>
        <w:gridCol w:w="590"/>
        <w:gridCol w:w="135"/>
      </w:tblGrid>
      <w:tr>
        <w:trPr/>
        <w:tc>
          <w:tcPr>
            <w:tcW w:w="29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789</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Payroll and related accruals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407</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Income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3,286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3,204</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Accrued liabilities – Legal Fee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402</w:t>
            </w:r>
          </w:p>
        </w:tc>
        <w:tc>
          <w:tcPr>
            <w:tcW w:w="13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pPr>
            <w:r>
              <w:rPr/>
              <w:t>Accrued liabilities – 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633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338</w:t>
            </w:r>
          </w:p>
        </w:tc>
        <w:tc>
          <w:tcPr>
            <w:tcW w:w="135" w:type="dxa"/>
            <w:tcBorders/>
            <w:shd w:fill="CCEEFF" w:val="cle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6,201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5,140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F-30</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SHORT-TERM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2023, the Company borrowed an aggregate of $99,550 pursuant to loan agreements from Israel Discount Bank Ltd. (the “Short-Term Borrowings”). The Short-Term Borrowings had maturity dates ranging from August 11, 2023 to May 24, 2024, bore interest ranging from 6.66% to 7.38%, and were secured by certificates of deposits issued by Israel Discount Bank Ltd. having an aggregate face amount of $99,550. The net proceeds of the Short-Term Borrowings were used to fund the Tranche A Note (for further details, see note 4). The Short-Term Borrowings were paid in one payment of principal and interest at each respective maturity. As of December 31, 2024, the Company repaid the entire Short-Term Borrowings amount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COMMITMENTS: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0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Medicox</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2022, the Company entered the Medicox License Agreement with Medicox (the “Medicox License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Medicox License Agreement grants Medicox an exclusive license to apply for regulatory approval and distribute ORMD-0801 in the Republic of Korea. The Medicox License Agreement is for ten years, but the parties have the right to terminate it with a 180 days notice.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Medicox will comply with agreed distribution targets, purchase ORMD-0801 at an agreed transfer price per capsule and will be responsible for obtaining a regulatory approval in the Republic of Korea. The Medicox License Agreement contains a fixed consideration of $2,000, which was received by the Company during the year ended December 31, 2022 and is presented under long-term deferred revenues, as well as variable consideration consisting of development milestone payments of up to $15,000 and sales-based royalties of up to 15% on gross sales.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ASC 606 ,Revenue from Contracts with Customers, the Company identified Medicox as a customer and the Medicox License Agreement as a contract with a customer.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 to stand-ready and support Medicox will be recognized on a straight-line basis over the period the Company expects to provide support to Medicox. As of December 31, 2025, this support has not commenced, and no revenue was recognized from the Medicox License Agreement.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Medicox proceeds with the regulatory approval process in the Republic of Korea, the Company expects most of the revenue to be recognized at a later stage, going forward. If Medicox chooses to terminate the agreement, the Company will accelerate revenue recognition and recognize it at such time. </w:t>
            </w:r>
          </w:p>
        </w:tc>
      </w:tr>
    </w:tbl>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05"/>
        <w:gridCol w:w="200"/>
        <w:gridCol w:w="44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4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Grants from the Israel Innovation Authority (“IIA”)</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funding from the IIA, royalties of 3% are payable on sales of products developed from a project so funded, up to a maximum amount equaling 100%-150% of the grants received (dollar linked) with the addition of interest at an annual rate based on SOFR.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grants were received before the year ended August 31, 2020 and recorded as a reduction of research and development expenses at that time. At the time the grants were received, successful development of the related projects was not assured. The total amount that was received through December 31, 2025 was $2,213 ($2,570 including interest).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2025, the Company received approval from the IIA to transfer all of its IIA-funded technology to OraTech in accordance with the terms of the JV Agreement. This approval was granted upon the condition that the Company pays the aggregate IIA grant amount, plus accrued interest, less all royalties paid to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2025, the Company fulfilled its payment obligation by remitting $2,046 to the IIA, and as result the Company has no further obligations to the IIA. The amount of $1,987 was recognized in cost of revenue during the year ended December 31, 2025. The amount of $59 was recognized in previous periods.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F-31</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13 - COMMITMENTS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105"/>
        <w:gridCol w:w="185"/>
        <w:gridCol w:w="66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 2020, the Subsidiary entered into a lease agreement for its facilities in Israel. The lease agreement is for a period of 60 months commencing September 1, 2020. As security for its obligation under this lease agreement, the Company provided a bank guarantee in an amount equal to three monthly lease payments. For accounting purposes, the initial lease period was 60 months. During the year ended December 31, 2025, the Company exercised the extension option for a portion of its office space, extending the lease term until August 31, 2030.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extension of the lease agreement, the Company remeasured the right-of-use (ROU) asset and corresponding lease liability in accordance with ASC 842. The updated balances reflect the revised lease term and related payment obligations through August 31, 2030.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Subsidiary entered into an addendum (the “Addendum”) to the current lease agreement for its facilities in Israel. The Addendum refers to the lease of an additional space of 264 square meters for a period of 60 months commencing February 1, 2022. The Subsidiary has the option to extend the period for another 60 months. For accounting purposes, the lease commenced on February 1, 2022 as the Subsidiary did not have access to the space until that date. For accounting purposes, the lease period is 60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expenses related to leases were $238 for the year ended December 31, 2025, and $265 for the year ended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office space and vehicles that expire through 2028. Below is a summary of the Company’s operating right-of-use assets and operating lease liabilities as of December 31, 2025 and 2024:</w:t>
      </w:r>
    </w:p>
    <w:p>
      <w:pPr>
        <w:pStyle w:val="TextBody"/>
        <w:bidi w:val="0"/>
        <w:spacing w:before="0" w:after="0"/>
        <w:ind w:left="720" w:right="0" w:hanging="0"/>
        <w:jc w:val="both"/>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4385"/>
        <w:gridCol w:w="90"/>
        <w:gridCol w:w="383"/>
        <w:gridCol w:w="1062"/>
        <w:gridCol w:w="245"/>
        <w:gridCol w:w="90"/>
        <w:gridCol w:w="383"/>
        <w:gridCol w:w="1062"/>
        <w:gridCol w:w="290"/>
      </w:tblGrid>
      <w:tr>
        <w:trPr/>
        <w:tc>
          <w:tcPr>
            <w:tcW w:w="43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29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Operating right-of-use assets</w:t>
            </w:r>
          </w:p>
        </w:tc>
        <w:tc>
          <w:tcPr>
            <w:tcW w:w="90" w:type="dxa"/>
            <w:tcBorders/>
            <w:shd w:fill="CCEEFF" w:val="clear"/>
            <w:vAlign w:val="center"/>
          </w:tcPr>
          <w:p>
            <w:pPr>
              <w:pStyle w:val="TableContents"/>
              <w:bidi w:val="0"/>
              <w:spacing w:before="0" w:after="283"/>
              <w:jc w:val="left"/>
              <w:rPr/>
            </w:pPr>
            <w:r>
              <w:rPr/>
              <w:t> </w:t>
            </w:r>
          </w:p>
        </w:tc>
        <w:tc>
          <w:tcPr>
            <w:tcW w:w="3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750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414</w:t>
            </w:r>
          </w:p>
        </w:tc>
        <w:tc>
          <w:tcPr>
            <w:tcW w:w="29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Operating lease liabilities, current</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285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216</w:t>
            </w:r>
          </w:p>
        </w:tc>
        <w:tc>
          <w:tcPr>
            <w:tcW w:w="29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Operating lease liabilities long-term</w:t>
            </w:r>
          </w:p>
        </w:tc>
        <w:tc>
          <w:tcPr>
            <w:tcW w:w="90" w:type="dxa"/>
            <w:tcBorders/>
            <w:vAlign w:val="center"/>
          </w:tcPr>
          <w:p>
            <w:pPr>
              <w:pStyle w:val="TableContents"/>
              <w:bidi w:val="0"/>
              <w:spacing w:before="0" w:after="283"/>
              <w:jc w:val="left"/>
              <w:rPr/>
            </w:pPr>
            <w:r>
              <w:rPr/>
              <w:t> </w:t>
            </w:r>
          </w:p>
        </w:tc>
        <w:tc>
          <w:tcPr>
            <w:tcW w:w="3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tcMar>
              <w:bottom w:w="28" w:type="dxa"/>
            </w:tcMar>
            <w:vAlign w:val="center"/>
          </w:tcPr>
          <w:p>
            <w:pPr>
              <w:pStyle w:val="TableContents"/>
              <w:bidi w:val="0"/>
              <w:spacing w:before="0" w:after="283"/>
              <w:jc w:val="right"/>
              <w:rPr/>
            </w:pPr>
            <w:r>
              <w:rPr/>
              <w:t>540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tcMar>
              <w:bottom w:w="28" w:type="dxa"/>
            </w:tcMar>
            <w:vAlign w:val="center"/>
          </w:tcPr>
          <w:p>
            <w:pPr>
              <w:pStyle w:val="TableContents"/>
              <w:bidi w:val="0"/>
              <w:spacing w:before="0" w:after="283"/>
              <w:jc w:val="right"/>
              <w:rPr/>
            </w:pPr>
            <w:r>
              <w:rPr/>
              <w:t>156</w:t>
            </w:r>
          </w:p>
        </w:tc>
        <w:tc>
          <w:tcPr>
            <w:tcW w:w="29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Total operating lease liabilities</w:t>
            </w:r>
          </w:p>
        </w:tc>
        <w:tc>
          <w:tcPr>
            <w:tcW w:w="90" w:type="dxa"/>
            <w:tcBorders/>
            <w:shd w:fill="CCEEFF" w:val="clear"/>
            <w:vAlign w:val="center"/>
          </w:tcPr>
          <w:p>
            <w:pPr>
              <w:pStyle w:val="TableContents"/>
              <w:bidi w:val="0"/>
              <w:spacing w:before="0" w:after="283"/>
              <w:jc w:val="left"/>
              <w:rPr/>
            </w:pPr>
            <w:r>
              <w:rPr/>
              <w:t> </w:t>
            </w:r>
          </w:p>
        </w:tc>
        <w:tc>
          <w:tcPr>
            <w:tcW w:w="3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pPr>
            <w:r>
              <w:rPr/>
              <w:t>825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pPr>
            <w:r>
              <w:rPr/>
              <w:t>372</w:t>
            </w:r>
          </w:p>
        </w:tc>
        <w:tc>
          <w:tcPr>
            <w:tcW w:w="29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Weighted Average of Remaining Lease Term</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Operating leases</w:t>
            </w:r>
          </w:p>
        </w:tc>
        <w:tc>
          <w:tcPr>
            <w:tcW w:w="90" w:type="dxa"/>
            <w:tcBorders/>
            <w:vAlign w:val="center"/>
          </w:tcPr>
          <w:p>
            <w:pPr>
              <w:pStyle w:val="TableContents"/>
              <w:bidi w:val="0"/>
              <w:spacing w:before="0" w:after="283"/>
              <w:jc w:val="left"/>
              <w:rPr/>
            </w:pPr>
            <w:r>
              <w:rPr/>
              <w:t> </w:t>
            </w:r>
          </w:p>
        </w:tc>
        <w:tc>
          <w:tcPr>
            <w:tcW w:w="383"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tcMar>
              <w:bottom w:w="28" w:type="dxa"/>
            </w:tcMar>
            <w:vAlign w:val="center"/>
          </w:tcPr>
          <w:p>
            <w:pPr>
              <w:pStyle w:val="TableContents"/>
              <w:bidi w:val="0"/>
              <w:spacing w:before="0" w:after="283"/>
              <w:jc w:val="right"/>
              <w:rPr/>
            </w:pPr>
            <w:r>
              <w:rPr/>
              <w:t>3.76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tcMar>
              <w:bottom w:w="28" w:type="dxa"/>
            </w:tcMar>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Weighted Average Discount Rate</w:t>
            </w:r>
          </w:p>
        </w:tc>
        <w:tc>
          <w:tcPr>
            <w:tcW w:w="9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both"/>
              <w:rPr/>
            </w:pPr>
            <w:r>
              <w:rPr/>
              <w:t>Operating leases</w:t>
            </w:r>
          </w:p>
        </w:tc>
        <w:tc>
          <w:tcPr>
            <w:tcW w:w="90" w:type="dxa"/>
            <w:tcBorders/>
            <w:shd w:fill="CCEEFF" w:val="clear"/>
            <w:vAlign w:val="center"/>
          </w:tcPr>
          <w:p>
            <w:pPr>
              <w:pStyle w:val="TableContents"/>
              <w:bidi w:val="0"/>
              <w:spacing w:before="0" w:after="283"/>
              <w:jc w:val="left"/>
              <w:rPr/>
            </w:pPr>
            <w:r>
              <w:rPr/>
              <w:t> </w:t>
            </w:r>
          </w:p>
        </w:tc>
        <w:tc>
          <w:tcPr>
            <w:tcW w:w="3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pPr>
            <w:r>
              <w:rPr/>
              <w:t>6.3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double" w:sz="10" w:space="0" w:color="000000"/>
            </w:tcBorders>
            <w:shd w:fill="CCEEFF" w:val="clear"/>
            <w:tcMar>
              <w:bottom w:w="28" w:type="dxa"/>
            </w:tcMar>
            <w:vAlign w:val="center"/>
          </w:tcPr>
          <w:p>
            <w:pPr>
              <w:pStyle w:val="TableContents"/>
              <w:bidi w:val="0"/>
              <w:spacing w:before="0" w:after="283"/>
              <w:jc w:val="right"/>
              <w:rPr/>
            </w:pPr>
            <w:r>
              <w:rPr/>
              <w:t>3.52</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for operating lease for the years ended December 31, 2025 and 2024 were $292 and $264,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13 - COMMITMENTS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105"/>
        <w:gridCol w:w="185"/>
        <w:gridCol w:w="17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Leases </w:t>
            </w:r>
            <w:r>
              <w:rPr>
                <w:rFonts w:ascii="Times New Roman;Times;Serif" w:hAnsi="Times New Roman;Times;Serif"/>
                <w:sz w:val="20"/>
              </w:rPr>
              <w:t>(continued):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for the Company’s right-of-use assets over the remaining lease periods as of December 31, 2025 are as follows:</w:t>
      </w:r>
    </w:p>
    <w:p>
      <w:pPr>
        <w:pStyle w:val="TextBody"/>
        <w:bidi w:val="0"/>
        <w:spacing w:before="0" w:after="0"/>
        <w:ind w:left="0" w:right="0" w:firstLine="720"/>
        <w:jc w:val="both"/>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3365"/>
        <w:gridCol w:w="90"/>
        <w:gridCol w:w="375"/>
        <w:gridCol w:w="1070"/>
        <w:gridCol w:w="170"/>
      </w:tblGrid>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7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2026</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332</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2027</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192</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163</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2029</w:t>
            </w:r>
          </w:p>
        </w:tc>
        <w:tc>
          <w:tcPr>
            <w:tcW w:w="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157</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2030</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104</w:t>
            </w:r>
          </w:p>
        </w:tc>
        <w:tc>
          <w:tcPr>
            <w:tcW w:w="17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Total undiscounted lease payments</w:t>
            </w:r>
          </w:p>
        </w:tc>
        <w:tc>
          <w:tcPr>
            <w:tcW w:w="90" w:type="dxa"/>
            <w:tcBorders/>
            <w:vAlign w:val="center"/>
          </w:tcPr>
          <w:p>
            <w:pPr>
              <w:pStyle w:val="TableContents"/>
              <w:bidi w:val="0"/>
              <w:spacing w:before="0" w:after="283"/>
              <w:jc w:val="left"/>
              <w:rPr/>
            </w:pPr>
            <w:r>
              <w:rPr/>
              <w:t> </w:t>
            </w:r>
          </w:p>
        </w:tc>
        <w:tc>
          <w:tcPr>
            <w:tcW w:w="3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tcMar>
              <w:bottom w:w="28" w:type="dxa"/>
            </w:tcMar>
            <w:vAlign w:val="center"/>
          </w:tcPr>
          <w:p>
            <w:pPr>
              <w:pStyle w:val="TableContents"/>
              <w:bidi w:val="0"/>
              <w:spacing w:before="0" w:after="283"/>
              <w:jc w:val="right"/>
              <w:rPr>
                <w:b/>
              </w:rPr>
            </w:pPr>
            <w:r>
              <w:rPr>
                <w:b/>
              </w:rPr>
              <w:t>948</w:t>
            </w:r>
          </w:p>
        </w:tc>
        <w:tc>
          <w:tcPr>
            <w:tcW w:w="17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Less: Interest*</w:t>
            </w:r>
          </w:p>
        </w:tc>
        <w:tc>
          <w:tcPr>
            <w:tcW w:w="90" w:type="dxa"/>
            <w:tcBorders/>
            <w:shd w:fill="CCEEFF" w:val="clear"/>
            <w:vAlign w:val="center"/>
          </w:tcPr>
          <w:p>
            <w:pPr>
              <w:pStyle w:val="TableContents"/>
              <w:bidi w:val="0"/>
              <w:spacing w:before="0" w:after="283"/>
              <w:jc w:val="left"/>
              <w:rPr/>
            </w:pPr>
            <w:r>
              <w:rPr/>
              <w:t> </w:t>
            </w:r>
          </w:p>
        </w:tc>
        <w:tc>
          <w:tcPr>
            <w:tcW w:w="3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(123</w:t>
            </w:r>
          </w:p>
        </w:tc>
        <w:tc>
          <w:tcPr>
            <w:tcW w:w="170" w:type="dxa"/>
            <w:tcBorders/>
            <w:shd w:fill="CCEEFF" w:val="clear"/>
            <w:vAlign w:val="center"/>
          </w:tcPr>
          <w:p>
            <w:pPr>
              <w:pStyle w:val="TableContents"/>
              <w:bidi w:val="0"/>
              <w:spacing w:before="0" w:after="283"/>
              <w:jc w:val="left"/>
              <w:rPr/>
            </w:pPr>
            <w:r>
              <w:rPr/>
              <w:t>)</w:t>
            </w:r>
          </w:p>
        </w:tc>
      </w:tr>
      <w:tr>
        <w:trPr/>
        <w:tc>
          <w:tcPr>
            <w:tcW w:w="3365" w:type="dxa"/>
            <w:tcBorders/>
            <w:vAlign w:val="center"/>
          </w:tcPr>
          <w:p>
            <w:pPr>
              <w:pStyle w:val="TableContents"/>
              <w:bidi w:val="0"/>
              <w:spacing w:before="0" w:after="283"/>
              <w:jc w:val="left"/>
              <w:rPr/>
            </w:pPr>
            <w:r>
              <w:rPr/>
              <w:t>Present value of lease liabilities</w:t>
            </w:r>
          </w:p>
        </w:tc>
        <w:tc>
          <w:tcPr>
            <w:tcW w:w="90" w:type="dxa"/>
            <w:tcBorders/>
            <w:vAlign w:val="center"/>
          </w:tcPr>
          <w:p>
            <w:pPr>
              <w:pStyle w:val="TableContents"/>
              <w:bidi w:val="0"/>
              <w:spacing w:before="0" w:after="283"/>
              <w:jc w:val="left"/>
              <w:rPr/>
            </w:pPr>
            <w:r>
              <w:rPr/>
              <w:t> </w:t>
            </w:r>
          </w:p>
        </w:tc>
        <w:tc>
          <w:tcPr>
            <w:tcW w:w="375" w:type="dxa"/>
            <w:tcBorders>
              <w:bottom w:val="double" w:sz="10" w:space="0" w:color="000000"/>
            </w:tcBorders>
            <w:tcMar>
              <w:bottom w:w="28" w:type="dxa"/>
            </w:tcMar>
            <w:vAlign w:val="center"/>
          </w:tcPr>
          <w:p>
            <w:pPr>
              <w:pStyle w:val="TableContents"/>
              <w:bidi w:val="0"/>
              <w:spacing w:before="0" w:after="283"/>
              <w:jc w:val="left"/>
              <w:rPr>
                <w:b/>
              </w:rPr>
            </w:pPr>
            <w:r>
              <w:rPr>
                <w:b/>
              </w:rPr>
              <w:t>$</w:t>
            </w:r>
          </w:p>
        </w:tc>
        <w:tc>
          <w:tcPr>
            <w:tcW w:w="1070" w:type="dxa"/>
            <w:tcBorders>
              <w:bottom w:val="double" w:sz="10" w:space="0" w:color="000000"/>
            </w:tcBorders>
            <w:tcMar>
              <w:bottom w:w="28" w:type="dxa"/>
            </w:tcMar>
            <w:vAlign w:val="center"/>
          </w:tcPr>
          <w:p>
            <w:pPr>
              <w:pStyle w:val="TableContents"/>
              <w:bidi w:val="0"/>
              <w:spacing w:before="0" w:after="283"/>
              <w:jc w:val="right"/>
              <w:rPr>
                <w:b/>
              </w:rPr>
            </w:pPr>
            <w:r>
              <w:rPr>
                <w:b/>
              </w:rPr>
              <w:t>825</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170"/>
        <w:gridCol w:w="519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lease payments were discounted by 3%-7% interest rate.</w:t>
            </w:r>
          </w:p>
        </w:tc>
      </w:tr>
    </w:tbl>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05"/>
        <w:gridCol w:w="200"/>
        <w:gridCol w:w="4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45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Clinical Research Organization Services Agreement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2024, the Subsidiary entered into a Clinical Research Organization Services Agreement with a third party, to retain it as a clinical research organization (“CRO”). The services covered by the agreement include strategic planning, expert consultation, data processing, regulatory, clerical, project management and other research and development services requested by the Company for the Phase 3 clinical trial. As consideration for its services, the Company will pay the CRO a total amount of $11,577 during the term of the engagement and based on achievement of certain milestones, of which $1,406 recognized in research and development expenses through December 31,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modified its clinical trial protocol and overall trial approach. The proposed new protocol is significantly smaller in scope and will enroll fewer participants than the original trial design. As a result of these changes, the Company is currently reexamining the terms and scope of the CRO Services Agreement to align with the revised trial design. See additional information in note 21.</w:t>
      </w:r>
    </w:p>
    <w:p>
      <w:pPr>
        <w:pStyle w:val="TextBody"/>
        <w:bidi w:val="0"/>
        <w:spacing w:before="0" w:after="0"/>
        <w:ind w:left="720" w:right="0" w:hanging="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105"/>
        <w:gridCol w:w="185"/>
        <w:gridCol w:w="252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5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Ruby Sapphire II Investment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2025, the Company entered into agreement and committed to invest NIS 7,000 ($2,185) as a limited partner in Ruby Capital Investment Fund Sapphire II, Limited Partnership (“Ruby Sapphire II”), an Israeli private investment fund. The Company commitment may be drawn down over time in accordance with the fund’s partnership agreement, and the investment is subject to the risks inherent in private investment funds, including illiquidity and the potential loss of invested capital. See additional information in the subsequent events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F-33</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significant capital stock transactions that took place during the years ended December 31, 2025 and 2024: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March 18, 2024, the Company entered into an at the market offering (the “StockBlock ATM Agreement”) with Rodman &amp; Renshaw LLC and StockBlock Securities LLC, as agent, pursuant to which the Company may issue and sell shares of its common stock having an aggregate offering price of up to $75,000, through a sales agent, subject to certain terms and conditions. Any shares sold will be sold pursuant to the Company’s effective shelf registration statement on Form S-3 including a prospectus dated March 18, 2024 and prospectus supplement dated September 1, 2021. The Company will pay the sales agent a cash commission of 3.0% of the gross proceeds of the sale of any shares sold through the sales agent under the StockBlock ATM Agreement. As of December 31, 2025 no shares had been issued under the StockBlock ATM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December 31, 2025 and 2024, the Company had outstanding warrants exercisable for 20,000 shares of common stock at an exercise price of $4.13 per share, which become exercisable on February 25, 2020 and expire on April 15, 2029. There was no warrant activity during the years ended December 31, 2025 and 2024.</w:t>
            </w:r>
          </w:p>
        </w:tc>
      </w:tr>
    </w:tbl>
    <w:p>
      <w:pPr>
        <w:pStyle w:val="TextBody"/>
        <w:bidi w:val="0"/>
        <w:spacing w:before="0" w:after="0"/>
        <w:ind w:left="0" w:right="0" w:hanging="0"/>
        <w:jc w:val="center"/>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105"/>
        <w:gridCol w:w="185"/>
        <w:gridCol w:w="165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6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Buyback program</w:t>
            </w:r>
          </w:p>
        </w:tc>
      </w:tr>
    </w:tbl>
    <w:p>
      <w:pPr>
        <w:pStyle w:val="TextBody"/>
        <w:bidi w:val="0"/>
        <w:spacing w:before="0" w:after="0"/>
        <w:ind w:left="567"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2024, the Company’s board of directors authorized a stock buyback program pursuant to which the Company may, from time to time, repurchase and retire up to $20,000 in maximum value of its common stock. Share repurchases may be executed through various means, including, without limitation, open market transactions, privately negotiated transactions or otherwise in compliance with Rule 10b-18 under the Securities Exchange Act of 1934, as amended. The stock buyback program does not obligate the Company to purchase any shares and expires in June 2025. The authorization for the stock buyback program may be terminated, increased or decreased by the Company’s board of directors in its discretion at any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2025, the Company’s board of directors authorized a one-year extension of the Company’s current stock buyback program, which was set to expire in June 2026, pursuant to which the Company may, from time to time, purchase up to $20,000 in maximum value of its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and 2024, the Company repurchased and retired shares of its common stock under this program. During 2025 the Company repurchased 899,609 shares for $2,155, including $6 of excise tax, at an average price of $2.39 per share and during 2024, the Company repurchased 1,036,976 shares for $2,494, including $10 of excise tax, at an average price of $2.4 per share. All repurchases were funded with cash on hand.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repurchased 1,936,585 shares of its common stock under this program in the total amount of $4,649.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2025, the Company entered into a share repurchase agreement with HTIT, pursuant to which the Company repurchased and retired 1,155,367 shares of its common stock at a purchase price of $2.23 per share, for an aggregate price of $2,584, including $8 of excise tax. The repurchased shares were cancelled and retired upon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F-34</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14 - STOCKHOLDERS’ EQUITY</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05"/>
        <w:gridCol w:w="200"/>
        <w:gridCol w:w="23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Dividends to Shareholders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99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Company’s Board of Directors declared a special cash dividend of $0.25 per share of common stock, payable to holders of record as of the close of business on January 16, 2026. The dividend was paid on January 26, 2026. In accordance with the terms of the Company’s outstanding warrant agreements, holders of 20,000 warrants as of the record date were also entitled to receive a cash payment of $0.25 per underlying warrant share. Holders of RSUs granted prior to the record date, including unvested RSUs, were entitled to receive a dividend equivalent of $0.25 per RSU unit, payable upon vesting of the underlying awards, as described below. The aggregate dividend and dividend equivalent amount, including amounts attributable to outstanding warrants and unvested RSUs, totaled $10,870. The dividend was unpaid as of December 31, 2025 and is recorded in dividends payable in the consolidated balance sheets.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99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 equivalents declared on unvested RSUs are subject to the same vesting conditions as the underlying awards and are forfeited if the awards do not vest. Such dividend equivalents are deferred and will be paid to RSU holders upon vesting of the underlying award. In accordance with ASC 718, forfeitable dividend equivalents on equity-classified awards are recognized as a charge to retained earnings at the date of declaration, with a corresponding liability recorded in dividends payable. </w:t>
      </w:r>
    </w:p>
    <w:p>
      <w:pPr>
        <w:pStyle w:val="TextBody"/>
        <w:bidi w:val="0"/>
        <w:spacing w:before="0" w:after="0"/>
        <w:ind w:left="720" w:right="0" w:hanging="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05"/>
        <w:gridCol w:w="185"/>
        <w:gridCol w:w="402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40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Waiver of loan granted to subsidiary– Oravax</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Oravax ceased its operations. As a result, the Company waved the loan owed by Oravax to the Company (“waver of the loan”). In connection with the waiver of the loan owed by Oravax to the Company, which effectively constituted a benefit to the non-controlling interest, the Company recognized the impact as an adjustment to non-controlling interest balance, with a corresponding adjustment to additional paid-in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awards only under the 2019 Plan, under which, the Company had reserved a pool of 7,500,000 shares of the Company’s common stock which may be issued at the discretion of the board of directors from time to time. Under this 2019 Plan, each option or RSU is exercisable into one share of common stock of the Company. The options may be exercised after vesting and in accordance with vesting schedules which will be determined by the board of directors for each grant. The maximum term of the options and RSUs is 10 years.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significant stock options, RSUs transactions with employees and board members made during the years ended December 31, 2025 and 2024:</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the Company granted an aggregate of 941,500 RSUs representing a right to receive shares of the Company’s common stock to executive officers of the Company. The RSUs will vest in twelve equal quarterly installments starting January 8, 2024. The total fair value of these RSUs on the date of grant was $2,250 using the quoted closing market share price of $2.39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2024, the Company granted 294,000 performance based RSUs (“PSUs”) representing a right to receive shares of the Company’s common stock to executive officers of the Company. The total amount of the PSUs shall vest upon the satisfaction of certain market conditions. The total fair value of these PSUs on the date of grant was $691, using the Monte-Carlo model, based on the quoted closing market share price of $2.39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F-35</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15 -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4, 2024, the Company granted an aggregate of 187,610 RSUs representing a right to receive shares of the Company’s common stock to board members of the Company. 37,610 RSUs will vest in three equal quarterly installments starting April 1, 2024. 150,000 RSUs will vest in three equal annual installments starting January 1, 2025. The total fair value of these RSUs on the date of grant was $448, using the quoted closing market share price of $2.39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30, 2024, the Company granted an aggregate of 3,750 RSUs representing a right to receive shares of the Company’s common stock to board member of the Company. The RSUs will vest in four equal quarterly installments starting April 1, 2024. The total fair value of these RSUs on the date of grant was $11, using the quoted closing market share price of $2.98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April 17, 2024, the Company granted an aggregate of 29,800 RSUs representing a right to receive shares of the Company’s common stock to board member of the Company. 7,300 RSUs will vest in three equal quarterly installments starting July 1, 2024. 22,500 RSUs will vest in three equal annual installments starting January 1, 2025. The total fair value of these RSUs on the date of grant was $69, using the quoted closing market share price of $2.33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20, 2024, the Company granted 34,000 PSUs representing a right to receive shares of the Company’s common stock to the Company’s Chief Financial Officer. The total amount of the PSUs shall vest upon the later of (i) June 18, 2026 and (ii) satisfaction of certain market conditions. The total fair value of these PSUs on the date of grant was $73, using the Monte-Carlo model, based on the quoted closing market share price of $2.21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June 21, 2024, 140,040 RSUs representing a right to receive shares of the Company’s common stock were granted to executive officer. 93,360 shall vest in one installment on June, 18 2026 and 46,680 shall vest in four equal quarterly installments starting September 9, 2026. The total fair value of these RSUs on the date of grant was $305, using the quoted closing market share price of $2.18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November 11, 2024, the Company granted an aggregate of 135,000 RSUs representing a right to receive shares of the Company’s common stock to executive officers of the Company. The RSUs vested on the date of grant. The total fair value of these RSUs on the date of grant was $321, using the quoted closing market share price of $2.38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the Company granted 1,023,000 RSUs representing a right to receive shares of the Company’s common stock to the Company’s executive officers. The total amount of the RSUs shall vest in equal quarterly installments of approximately 85,249 over a three year period starting with the first quarterly vesting on January 1, 2025. The total fair value of these RSUs on the date of grant was $2,465 based on the quoted closing market share price of $2.41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January 2, 2025, the Company granted 328,500 PSUs representing a right to receive shares of the Company’s common stock to the Company’s executive officers. The total amount of the PSUs shall vest upon the satisfaction of certain performance conditions. The total fair value of these PSUs on the date of grant was $792 based on the quoted closing market share price of $2.41 on the Nasdaq Capital Market on the date of grant.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15 -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w:t>
            </w:r>
          </w:p>
        </w:tc>
        <w:tc>
          <w:tcPr>
            <w:tcW w:w="99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Board modified 294,000 outstanding PSUs that were granted to the Company’s executive officers adjusting the vesting criteria from market condition to performance targets. The incremental fair value arising from the modification was $13.</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PSUs granted to the Company’s executive officers were deemed to have achieved the first updated performance target. As a result, the Company recognized stock-based compensation expense of $197 for the year ended December 31, 2025, equal to the unrecognized grant-date fair value of the original award plus the incremental fair value arising from the modification.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w:t>
            </w:r>
          </w:p>
        </w:tc>
        <w:tc>
          <w:tcPr>
            <w:tcW w:w="9945" w:type="dxa"/>
            <w:tcBorders/>
            <w:vAlign w:val="center"/>
          </w:tcPr>
          <w:p>
            <w:pPr>
              <w:pStyle w:val="TableContents"/>
              <w:bidi w:val="0"/>
              <w:spacing w:before="0" w:after="283"/>
              <w:jc w:val="both"/>
              <w:rPr/>
            </w:pPr>
            <w:r>
              <w:rPr/>
              <w:t>On June 5, 2025, the Company granted an aggregate of 150,000 RSUs representing a right to receive shares of the Company’s common stock to the Company’s board members. The RSUs granted to the board members vest in three equal annual installments on each of January 1, 2026, 2027 and 2028. The total fair value of these RSUs on the date of grant was $323, using the quoted closing market share price of $2.15 on the Nasdaq Capital Market on the date of grant.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w:t>
            </w:r>
          </w:p>
        </w:tc>
        <w:tc>
          <w:tcPr>
            <w:tcW w:w="9840" w:type="dxa"/>
            <w:tcBorders/>
            <w:vAlign w:val="center"/>
          </w:tcPr>
          <w:p>
            <w:pPr>
              <w:pStyle w:val="TableContents"/>
              <w:bidi w:val="0"/>
              <w:spacing w:before="0" w:after="283"/>
              <w:jc w:val="both"/>
              <w:rPr/>
            </w:pPr>
            <w:r>
              <w:rPr/>
              <w:t>On June 5, 2025, the Company granted an aggregate of 34,876 RSUs representing a right to receive shares of the Company’s common stock to the Company’s board members. The RSUs granted to certain board members vest in four monthly installments on each of June 5, 2025, July 1, 2025, October 1, 2025 and January 1, 2026. The total fair value of these RSUs on the date of grant was $75, using the quoted closing market share price of $2.15 on the Nasdaq Capital Market on the date of grant.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the Company granted an aggregate of 20,900 RSUs representing a right to receive shares of the Company’s common stock to the Company’s board members. The RSUs granted to the board members vest in four equal quarterly installments starting April 1, 2026. The total fair value of these RSUs on the date of grant was $60, using the quoted closing market share price of $2.85 on the Nasdaq Capital Market on the date of grant.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31, 2025, the Company granted an aggregate of 120,000 RSUs representing a right to receive shares of the Company’s common stock to the Company’s board members. The RSUs granted to certain board members vest in three equal annual installments on each of January 1, 2027, 2028 and 2029. The total fair value of these RSUs on the date of grant was $342, using the quoted closing market share price of $2.85 on the Nasdaq Capital Market on the date of grant.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w:t>
            </w:r>
          </w:p>
        </w:tc>
        <w:tc>
          <w:tcPr>
            <w:tcW w:w="9900" w:type="dxa"/>
            <w:tcBorders/>
            <w:vAlign w:val="center"/>
          </w:tcPr>
          <w:p>
            <w:pPr>
              <w:pStyle w:val="TableContents"/>
              <w:bidi w:val="0"/>
              <w:spacing w:before="0" w:after="283"/>
              <w:jc w:val="both"/>
              <w:rPr/>
            </w:pPr>
            <w:r>
              <w:rPr/>
              <w:t>On December 31, 2025, the Company granted an aggregate of 616,000 RSUs representing a right to receive shares of the Company’s common stock to executive officers of the Company. The RSUs will vest in eleven equal quarterly installments starting April 1, 2026. The total fair value of these RSUs on the date of grant was $1,756 using the quoted closing market share price of $2.85 on the Nasdaq Capital Market on the date of grant.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q.</w:t>
            </w:r>
          </w:p>
        </w:tc>
        <w:tc>
          <w:tcPr>
            <w:tcW w:w="9900" w:type="dxa"/>
            <w:tcBorders/>
            <w:vAlign w:val="center"/>
          </w:tcPr>
          <w:p>
            <w:pPr>
              <w:pStyle w:val="TableContents"/>
              <w:bidi w:val="0"/>
              <w:spacing w:before="0" w:after="283"/>
              <w:jc w:val="both"/>
              <w:rPr/>
            </w:pPr>
            <w:r>
              <w:rPr/>
              <w:t>On December 31, 2025, the Company granted an aggregate of 588,514 RSUs representing a right to receive shares of the Company’s common stock to executive officers of the Company. The RSUs vested on January 1, 2026. The total fair value of these RSUs on the date of grant was $1,677, using the quoted closing market share price of $2.85 on the Nasdaq Capital Market on the date of grant.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w:t>
            </w:r>
          </w:p>
        </w:tc>
        <w:tc>
          <w:tcPr>
            <w:tcW w:w="9952" w:type="dxa"/>
            <w:tcBorders/>
            <w:vAlign w:val="center"/>
          </w:tcPr>
          <w:p>
            <w:pPr>
              <w:pStyle w:val="TableContents"/>
              <w:bidi w:val="0"/>
              <w:spacing w:before="0" w:after="283"/>
              <w:jc w:val="both"/>
              <w:rPr/>
            </w:pPr>
            <w:r>
              <w:rPr/>
              <w:t>On December 31, 2025, the Company granted 166,000 PSUs representing a right to receive shares of the Company’s common stock to executive officers of the Company. The PSUs vest upon the satisfaction of certain performance conditions. The total fair value of these PSUs on the date of grant was $472, using the quoted closing market share price of $2.85 on the Nasdaq Capital Market on the date of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15 -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0"/>
        <w:gridCol w:w="9930"/>
      </w:tblGrid>
      <w:tr>
        <w:trPr/>
        <w:tc>
          <w:tcPr>
            <w:tcW w:w="1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w:t>
            </w:r>
          </w:p>
        </w:tc>
        <w:tc>
          <w:tcPr>
            <w:tcW w:w="99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granted 166,000 PSUs representing a right to receive shares of the Company’s common stock to executive officers of the Company. The PSUs vest upon the satisfaction of certain performance conditions or certain market conditions. The total fair value of these PSUs on the date of grant was $473, using the quoted closing market share price of $2.85 on the Nasdaq Capital Market on the date of grant. See additional information in note 21(c).</w:t>
            </w:r>
          </w:p>
        </w:tc>
      </w:tr>
    </w:tbl>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68"/>
        <w:gridCol w:w="185"/>
        <w:gridCol w:w="527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t.</w:t>
            </w:r>
          </w:p>
        </w:tc>
        <w:tc>
          <w:tcPr>
            <w:tcW w:w="5270" w:type="dxa"/>
            <w:tcBorders/>
            <w:vAlign w:val="center"/>
          </w:tcPr>
          <w:p>
            <w:pPr>
              <w:pStyle w:val="TableContents"/>
              <w:bidi w:val="0"/>
              <w:spacing w:before="0" w:after="283"/>
              <w:jc w:val="both"/>
              <w:rPr>
                <w:b/>
              </w:rPr>
            </w:pPr>
            <w:r>
              <w:rPr>
                <w:b/>
              </w:rPr>
              <w:t>Options to employees, directors and non-employees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status of the stock options granted to employees and directors as of December 31, 2025 and 2024 and changes during the years ended on those dates, is presented below:</w:t>
      </w:r>
    </w:p>
    <w:p>
      <w:pPr>
        <w:pStyle w:val="TextBody"/>
        <w:bidi w:val="0"/>
        <w:spacing w:before="0" w:after="0"/>
        <w:ind w:left="720" w:right="0" w:hanging="0"/>
        <w:jc w:val="both"/>
        <w:rPr>
          <w:caps w:val="false"/>
          <w:smallCaps w:val="false"/>
        </w:rPr>
      </w:pPr>
      <w:r>
        <w:rPr>
          <w:caps w:val="false"/>
          <w:smallCaps w:val="false"/>
        </w:rPr>
        <w:t> </w:t>
      </w:r>
    </w:p>
    <w:tbl>
      <w:tblPr>
        <w:tblW w:w="9005" w:type="dxa"/>
        <w:jc w:val="left"/>
        <w:tblInd w:w="0" w:type="dxa"/>
        <w:tblLayout w:type="fixed"/>
        <w:tblCellMar>
          <w:top w:w="0" w:type="dxa"/>
          <w:left w:w="0" w:type="dxa"/>
          <w:bottom w:w="0" w:type="dxa"/>
          <w:right w:w="0" w:type="dxa"/>
        </w:tblCellMar>
      </w:tblPr>
      <w:tblGrid>
        <w:gridCol w:w="3920"/>
        <w:gridCol w:w="90"/>
        <w:gridCol w:w="90"/>
        <w:gridCol w:w="1010"/>
        <w:gridCol w:w="125"/>
        <w:gridCol w:w="90"/>
        <w:gridCol w:w="135"/>
        <w:gridCol w:w="890"/>
        <w:gridCol w:w="90"/>
        <w:gridCol w:w="90"/>
        <w:gridCol w:w="90"/>
        <w:gridCol w:w="1010"/>
        <w:gridCol w:w="125"/>
        <w:gridCol w:w="90"/>
        <w:gridCol w:w="135"/>
        <w:gridCol w:w="890"/>
        <w:gridCol w:w="135"/>
      </w:tblGrid>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86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w:t>
              <w:br/>
              <w:t>options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br/>
              <w:t>of</w:t>
              <w:br/>
              <w:t>options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13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Options outstanding at beginning of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1,661,008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1,909,676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8.03</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Changes during the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Granted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13.89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(49,125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13.92</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Expired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(199,543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13.40</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Exercised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bottom w:val="single" w:sz="12" w:space="0" w:color="000000"/>
            </w:tcBorders>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Options outstanding at end of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1,660,383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1,661,008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7.21</w:t>
            </w:r>
          </w:p>
        </w:tc>
        <w:tc>
          <w:tcPr>
            <w:tcW w:w="135"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Options exercisable at end of year</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1,501,633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7.18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1,442,258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6.91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recognized in respect of stock options granted to employees and directors, for the years Ended December 31, 2025 and 2024, were $89 and $213, respectively.</w:t>
      </w:r>
    </w:p>
    <w:p>
      <w:pPr>
        <w:pStyle w:val="TextBody"/>
        <w:bidi w:val="0"/>
        <w:spacing w:before="0" w:after="0"/>
        <w:ind w:left="720" w:right="0" w:hanging="0"/>
        <w:jc w:val="both"/>
        <w:rPr>
          <w:caps w:val="false"/>
          <w:smallCaps w:val="false"/>
        </w:rPr>
      </w:pPr>
      <w:r>
        <w:rPr>
          <w:caps w:val="false"/>
          <w:smallCaps w:val="false"/>
        </w:rPr>
        <w:t> </w:t>
      </w:r>
    </w:p>
    <w:tbl>
      <w:tblPr>
        <w:tblW w:w="4728" w:type="dxa"/>
        <w:jc w:val="left"/>
        <w:tblInd w:w="0" w:type="dxa"/>
        <w:tblLayout w:type="fixed"/>
        <w:tblCellMar>
          <w:top w:w="0" w:type="dxa"/>
          <w:left w:w="0" w:type="dxa"/>
          <w:bottom w:w="0" w:type="dxa"/>
          <w:right w:w="0" w:type="dxa"/>
        </w:tblCellMar>
      </w:tblPr>
      <w:tblGrid>
        <w:gridCol w:w="68"/>
        <w:gridCol w:w="200"/>
        <w:gridCol w:w="44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Options to employees, directors and non-employees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summary information concerning the options granted to employees and directors outstanding as of December 31, 2025:</w:t>
      </w:r>
    </w:p>
    <w:p>
      <w:pPr>
        <w:pStyle w:val="TextBody"/>
        <w:bidi w:val="0"/>
        <w:spacing w:before="0" w:after="0"/>
        <w:ind w:left="720" w:right="0" w:hanging="0"/>
        <w:jc w:val="both"/>
        <w:rPr>
          <w:caps w:val="false"/>
          <w:smallCaps w:val="false"/>
        </w:rPr>
      </w:pPr>
      <w:r>
        <w:rPr>
          <w:caps w:val="false"/>
          <w:smallCaps w:val="false"/>
        </w:rPr>
        <w:t> </w:t>
      </w:r>
    </w:p>
    <w:tbl>
      <w:tblPr>
        <w:tblW w:w="5900" w:type="dxa"/>
        <w:jc w:val="left"/>
        <w:tblInd w:w="0" w:type="dxa"/>
        <w:tblLayout w:type="fixed"/>
        <w:tblCellMar>
          <w:top w:w="0" w:type="dxa"/>
          <w:left w:w="0" w:type="dxa"/>
          <w:bottom w:w="28" w:type="dxa"/>
          <w:right w:w="0" w:type="dxa"/>
        </w:tblCellMar>
      </w:tblPr>
      <w:tblGrid>
        <w:gridCol w:w="1760"/>
        <w:gridCol w:w="90"/>
        <w:gridCol w:w="102"/>
        <w:gridCol w:w="1148"/>
        <w:gridCol w:w="90"/>
        <w:gridCol w:w="90"/>
        <w:gridCol w:w="205"/>
        <w:gridCol w:w="1075"/>
        <w:gridCol w:w="90"/>
        <w:gridCol w:w="90"/>
        <w:gridCol w:w="135"/>
        <w:gridCol w:w="890"/>
        <w:gridCol w:w="135"/>
      </w:tblGrid>
      <w:tr>
        <w:trPr/>
        <w:tc>
          <w:tcPr>
            <w:tcW w:w="1760" w:type="dxa"/>
            <w:tcBorders>
              <w:bottom w:val="single" w:sz="12" w:space="0" w:color="000000"/>
            </w:tcBorders>
            <w:vAlign w:val="center"/>
          </w:tcPr>
          <w:p>
            <w:pPr>
              <w:pStyle w:val="TableContents"/>
              <w:bidi w:val="0"/>
              <w:spacing w:before="0" w:after="283"/>
              <w:jc w:val="left"/>
              <w:rPr>
                <w:b/>
              </w:rPr>
            </w:pPr>
            <w:r>
              <w:rPr>
                <w:b/>
              </w:rPr>
              <w:t>Exercise prices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Number</w:t>
              <w:br/>
              <w:t>outstanding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Weighted</w:t>
              <w:br/>
              <w:t>Average</w:t>
              <w:br/>
              <w:t>Remaining</w:t>
              <w:br/>
              <w:t>Contractual</w:t>
              <w:br/>
              <w:t>Life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12" w:space="0" w:color="000000"/>
            </w:tcBorders>
            <w:vAlign w:val="center"/>
          </w:tcPr>
          <w:p>
            <w:pPr>
              <w:pStyle w:val="TableContents"/>
              <w:bidi w:val="0"/>
              <w:spacing w:before="0" w:after="283"/>
              <w:jc w:val="center"/>
              <w:rPr>
                <w:b/>
              </w:rPr>
            </w:pPr>
            <w:r>
              <w:rPr>
                <w:b/>
              </w:rPr>
              <w:t>Weighted</w:t>
              <w:br/>
              <w:t>average</w:t>
              <w:br/>
              <w:t>exercise</w:t>
              <w:br/>
              <w:t>price $</w:t>
            </w:r>
          </w:p>
        </w:tc>
        <w:tc>
          <w:tcPr>
            <w:tcW w:w="135" w:type="dxa"/>
            <w:tcBorders/>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right"/>
              <w:rPr/>
            </w:pPr>
            <w:r>
              <w:rPr/>
              <w:t>840,500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shd w:fill="CCEEFF" w:val="clear"/>
            <w:tcMar>
              <w:bottom w:w="0" w:type="dxa"/>
            </w:tcMar>
            <w:vAlign w:val="center"/>
          </w:tcPr>
          <w:p>
            <w:pPr>
              <w:pStyle w:val="TableContents"/>
              <w:bidi w:val="0"/>
              <w:spacing w:before="0" w:after="283"/>
              <w:jc w:val="left"/>
              <w:rPr/>
            </w:pPr>
            <w:r>
              <w:rPr/>
              <w:t> </w:t>
            </w:r>
          </w:p>
        </w:tc>
        <w:tc>
          <w:tcPr>
            <w:tcW w:w="1075" w:type="dxa"/>
            <w:tcBorders/>
            <w:shd w:fill="CCEEFF" w:val="clear"/>
            <w:tcMar>
              <w:bottom w:w="0" w:type="dxa"/>
            </w:tcMar>
            <w:vAlign w:val="center"/>
          </w:tcPr>
          <w:p>
            <w:pPr>
              <w:pStyle w:val="TableContents"/>
              <w:bidi w:val="0"/>
              <w:spacing w:before="0" w:after="283"/>
              <w:jc w:val="right"/>
              <w:rPr/>
            </w:pPr>
            <w:r>
              <w:rPr/>
              <w:t>3.83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right"/>
              <w:rPr/>
            </w:pPr>
            <w:r>
              <w:rPr/>
              <w:t>3.94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left"/>
              <w:rPr/>
            </w:pPr>
            <w:r>
              <w:rPr/>
              <w:t>6.23-9.12</w:t>
            </w:r>
          </w:p>
        </w:tc>
        <w:tc>
          <w:tcPr>
            <w:tcW w:w="90" w:type="dxa"/>
            <w:tcBorders/>
            <w:tcMar>
              <w:bottom w:w="0" w:type="dxa"/>
            </w:tcMar>
            <w:vAlign w:val="center"/>
          </w:tcPr>
          <w:p>
            <w:pPr>
              <w:pStyle w:val="TableContents"/>
              <w:bidi w:val="0"/>
              <w:spacing w:before="0" w:after="283"/>
              <w:jc w:val="left"/>
              <w:rPr/>
            </w:pPr>
            <w:r>
              <w:rPr/>
              <w:t> </w:t>
            </w:r>
          </w:p>
        </w:tc>
        <w:tc>
          <w:tcPr>
            <w:tcW w:w="102" w:type="dxa"/>
            <w:tcBorders/>
            <w:tcMar>
              <w:bottom w:w="0" w:type="dxa"/>
            </w:tcMar>
            <w:vAlign w:val="center"/>
          </w:tcPr>
          <w:p>
            <w:pPr>
              <w:pStyle w:val="TableContents"/>
              <w:bidi w:val="0"/>
              <w:spacing w:before="0" w:after="283"/>
              <w:jc w:val="left"/>
              <w:rPr/>
            </w:pPr>
            <w:r>
              <w:rPr/>
              <w:t> </w:t>
            </w:r>
          </w:p>
        </w:tc>
        <w:tc>
          <w:tcPr>
            <w:tcW w:w="1148" w:type="dxa"/>
            <w:tcBorders/>
            <w:tcMar>
              <w:bottom w:w="0" w:type="dxa"/>
            </w:tcMar>
            <w:vAlign w:val="center"/>
          </w:tcPr>
          <w:p>
            <w:pPr>
              <w:pStyle w:val="TableContents"/>
              <w:bidi w:val="0"/>
              <w:spacing w:before="0" w:after="283"/>
              <w:jc w:val="right"/>
              <w:rPr/>
            </w:pPr>
            <w:r>
              <w:rPr/>
              <w:t>283,008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075" w:type="dxa"/>
            <w:tcBorders/>
            <w:tcMar>
              <w:bottom w:w="0" w:type="dxa"/>
            </w:tcMar>
            <w:vAlign w:val="center"/>
          </w:tcPr>
          <w:p>
            <w:pPr>
              <w:pStyle w:val="TableContents"/>
              <w:bidi w:val="0"/>
              <w:spacing w:before="0" w:after="283"/>
              <w:jc w:val="right"/>
              <w:rPr/>
            </w:pPr>
            <w:r>
              <w:rPr/>
              <w:t>1.80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right"/>
              <w:rPr/>
            </w:pPr>
            <w:r>
              <w:rPr/>
              <w:t>7.96</w:t>
            </w:r>
          </w:p>
        </w:tc>
        <w:tc>
          <w:tcPr>
            <w:tcW w:w="135" w:type="dxa"/>
            <w:tcBorders/>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10.40-20.19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 w:type="dxa"/>
            <w:tcBorders>
              <w:bottom w:val="single" w:sz="12" w:space="0" w:color="000000"/>
            </w:tcBorders>
            <w:shd w:fill="CCEEFF" w:val="clear"/>
            <w:vAlign w:val="center"/>
          </w:tcPr>
          <w:p>
            <w:pPr>
              <w:pStyle w:val="TableContents"/>
              <w:bidi w:val="0"/>
              <w:spacing w:before="0" w:after="283"/>
              <w:jc w:val="left"/>
              <w:rPr/>
            </w:pPr>
            <w:r>
              <w:rPr/>
              <w:t> </w:t>
            </w:r>
          </w:p>
        </w:tc>
        <w:tc>
          <w:tcPr>
            <w:tcW w:w="1148" w:type="dxa"/>
            <w:tcBorders>
              <w:bottom w:val="single" w:sz="12" w:space="0" w:color="000000"/>
            </w:tcBorders>
            <w:shd w:fill="CCEEFF" w:val="clear"/>
            <w:vAlign w:val="center"/>
          </w:tcPr>
          <w:p>
            <w:pPr>
              <w:pStyle w:val="TableContents"/>
              <w:bidi w:val="0"/>
              <w:spacing w:before="0" w:after="283"/>
              <w:jc w:val="right"/>
              <w:rPr/>
            </w:pPr>
            <w:r>
              <w:rPr/>
              <w:t>536,875</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bottom w:val="single" w:sz="12" w:space="0" w:color="000000"/>
            </w:tcBorders>
            <w:shd w:fill="CCEEFF" w:val="clear"/>
            <w:vAlign w:val="center"/>
          </w:tcPr>
          <w:p>
            <w:pPr>
              <w:pStyle w:val="TableContents"/>
              <w:bidi w:val="0"/>
              <w:spacing w:before="0" w:after="283"/>
              <w:jc w:val="left"/>
              <w:rPr/>
            </w:pPr>
            <w:r>
              <w:rPr/>
              <w:t> </w:t>
            </w:r>
          </w:p>
        </w:tc>
        <w:tc>
          <w:tcPr>
            <w:tcW w:w="1075" w:type="dxa"/>
            <w:tcBorders>
              <w:bottom w:val="single" w:sz="12" w:space="0" w:color="000000"/>
            </w:tcBorders>
            <w:shd w:fill="CCEEFF" w:val="clear"/>
            <w:vAlign w:val="center"/>
          </w:tcPr>
          <w:p>
            <w:pPr>
              <w:pStyle w:val="TableContents"/>
              <w:bidi w:val="0"/>
              <w:spacing w:before="0" w:after="283"/>
              <w:jc w:val="right"/>
              <w:rPr/>
            </w:pPr>
            <w:r>
              <w:rPr/>
              <w:t>5.50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12" w:space="0" w:color="000000"/>
            </w:tcBorders>
            <w:shd w:fill="CCEEFF" w:val="clear"/>
            <w:vAlign w:val="center"/>
          </w:tcPr>
          <w:p>
            <w:pPr>
              <w:pStyle w:val="TableContents"/>
              <w:bidi w:val="0"/>
              <w:spacing w:before="0" w:after="283"/>
              <w:jc w:val="left"/>
              <w:rPr/>
            </w:pPr>
            <w:r>
              <w:rPr/>
              <w:t> </w:t>
            </w:r>
          </w:p>
        </w:tc>
        <w:tc>
          <w:tcPr>
            <w:tcW w:w="890" w:type="dxa"/>
            <w:tcBorders>
              <w:bottom w:val="single" w:sz="12" w:space="0" w:color="000000"/>
            </w:tcBorders>
            <w:shd w:fill="CCEEFF" w:val="clear"/>
            <w:vAlign w:val="center"/>
          </w:tcPr>
          <w:p>
            <w:pPr>
              <w:pStyle w:val="TableContents"/>
              <w:bidi w:val="0"/>
              <w:spacing w:before="0" w:after="283"/>
              <w:jc w:val="right"/>
              <w:rPr/>
            </w:pPr>
            <w:r>
              <w:rPr/>
              <w:t>11.94</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02" w:type="dxa"/>
            <w:tcBorders>
              <w:bottom w:val="double" w:sz="10" w:space="0" w:color="000000"/>
            </w:tcBorders>
            <w:vAlign w:val="center"/>
          </w:tcPr>
          <w:p>
            <w:pPr>
              <w:pStyle w:val="TableContents"/>
              <w:bidi w:val="0"/>
              <w:spacing w:before="0" w:after="283"/>
              <w:jc w:val="left"/>
              <w:rPr/>
            </w:pPr>
            <w:r>
              <w:rPr/>
              <w:t> </w:t>
            </w:r>
          </w:p>
        </w:tc>
        <w:tc>
          <w:tcPr>
            <w:tcW w:w="1148" w:type="dxa"/>
            <w:tcBorders>
              <w:bottom w:val="double" w:sz="10" w:space="0" w:color="000000"/>
            </w:tcBorders>
            <w:vAlign w:val="center"/>
          </w:tcPr>
          <w:p>
            <w:pPr>
              <w:pStyle w:val="TableContents"/>
              <w:bidi w:val="0"/>
              <w:spacing w:before="0" w:after="283"/>
              <w:jc w:val="right"/>
              <w:rPr/>
            </w:pPr>
            <w:r>
              <w:rPr/>
              <w:t>1,660,383</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05" w:type="dxa"/>
            <w:tcBorders>
              <w:bottom w:val="double" w:sz="10" w:space="0" w:color="000000"/>
            </w:tcBorders>
            <w:vAlign w:val="center"/>
          </w:tcPr>
          <w:p>
            <w:pPr>
              <w:pStyle w:val="TableContents"/>
              <w:bidi w:val="0"/>
              <w:spacing w:before="0" w:after="283"/>
              <w:jc w:val="left"/>
              <w:rPr/>
            </w:pPr>
            <w:r>
              <w:rPr/>
              <w:t> </w:t>
            </w:r>
          </w:p>
        </w:tc>
        <w:tc>
          <w:tcPr>
            <w:tcW w:w="1075" w:type="dxa"/>
            <w:tcBorders>
              <w:bottom w:val="double" w:sz="10" w:space="0" w:color="000000"/>
            </w:tcBorders>
            <w:vAlign w:val="center"/>
          </w:tcPr>
          <w:p>
            <w:pPr>
              <w:pStyle w:val="TableContents"/>
              <w:bidi w:val="0"/>
              <w:spacing w:before="0" w:after="283"/>
              <w:jc w:val="right"/>
              <w:rPr/>
            </w:pPr>
            <w:r>
              <w:rPr/>
              <w:t>4.02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5" w:type="dxa"/>
            <w:tcBorders>
              <w:bottom w:val="double" w:sz="10" w:space="0" w:color="000000"/>
            </w:tcBorders>
            <w:vAlign w:val="center"/>
          </w:tcPr>
          <w:p>
            <w:pPr>
              <w:pStyle w:val="TableContents"/>
              <w:bidi w:val="0"/>
              <w:spacing w:before="0" w:after="283"/>
              <w:jc w:val="left"/>
              <w:rPr/>
            </w:pPr>
            <w:r>
              <w:rPr/>
              <w:t> </w:t>
            </w:r>
          </w:p>
        </w:tc>
        <w:tc>
          <w:tcPr>
            <w:tcW w:w="890" w:type="dxa"/>
            <w:tcBorders>
              <w:bottom w:val="double" w:sz="10" w:space="0" w:color="000000"/>
            </w:tcBorders>
            <w:vAlign w:val="center"/>
          </w:tcPr>
          <w:p>
            <w:pPr>
              <w:pStyle w:val="TableContents"/>
              <w:bidi w:val="0"/>
              <w:spacing w:before="0" w:after="283"/>
              <w:jc w:val="right"/>
              <w:rPr/>
            </w:pPr>
            <w:r>
              <w:rPr/>
              <w:t>7.21</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F-38</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15 - STOCK-BASED COMPENSATION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68"/>
        <w:gridCol w:w="200"/>
        <w:gridCol w:w="54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Options to employees, directors and non-employees </w:t>
            </w:r>
            <w:r>
              <w:rPr>
                <w:rFonts w:ascii="Times New Roman;Times;Serif" w:hAnsi="Times New Roman;Times;Serif"/>
                <w:sz w:val="20"/>
              </w:rPr>
              <w:t>(continued):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no unrecognized compensation costs related to non-vested options previously granted to employees and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47,000 options granted to non-employees were outstanding and exercisable as of December 31, 2025 and 2024. The Company recorded no stock-based compensation related to non-employees’ awards during the years ended December 31, 2025 and 2024. During the years ended December 31, 2025 and 2024, no options were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no unrecognized compensation costs related to non-vested options previously granted to non-employees.</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
        <w:gridCol w:w="200"/>
        <w:gridCol w:w="4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w:t>
            </w:r>
          </w:p>
        </w:tc>
        <w:tc>
          <w:tcPr>
            <w:tcW w:w="44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Options to employees, directors and non-employees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summary information concerning the options granted to non-employees outstanding as of December 31, 2025:</w:t>
      </w:r>
    </w:p>
    <w:p>
      <w:pPr>
        <w:pStyle w:val="TextBody"/>
        <w:bidi w:val="0"/>
        <w:spacing w:before="0" w:after="0"/>
        <w:ind w:left="720" w:right="0" w:hanging="0"/>
        <w:jc w:val="both"/>
        <w:rPr>
          <w:caps w:val="false"/>
          <w:smallCaps w:val="false"/>
        </w:rPr>
      </w:pPr>
      <w:r>
        <w:rPr>
          <w:caps w:val="false"/>
          <w:smallCaps w:val="false"/>
        </w:rPr>
        <w:t> </w:t>
      </w:r>
    </w:p>
    <w:tbl>
      <w:tblPr>
        <w:tblW w:w="6815" w:type="dxa"/>
        <w:jc w:val="left"/>
        <w:tblInd w:w="0" w:type="dxa"/>
        <w:tblLayout w:type="fixed"/>
        <w:tblCellMar>
          <w:top w:w="0" w:type="dxa"/>
          <w:left w:w="0" w:type="dxa"/>
          <w:bottom w:w="28" w:type="dxa"/>
          <w:right w:w="0" w:type="dxa"/>
        </w:tblCellMar>
      </w:tblPr>
      <w:tblGrid>
        <w:gridCol w:w="2675"/>
        <w:gridCol w:w="90"/>
        <w:gridCol w:w="140"/>
        <w:gridCol w:w="1110"/>
        <w:gridCol w:w="90"/>
        <w:gridCol w:w="90"/>
        <w:gridCol w:w="205"/>
        <w:gridCol w:w="1075"/>
        <w:gridCol w:w="90"/>
        <w:gridCol w:w="90"/>
        <w:gridCol w:w="164"/>
        <w:gridCol w:w="861"/>
        <w:gridCol w:w="135"/>
      </w:tblGrid>
      <w:tr>
        <w:trPr/>
        <w:tc>
          <w:tcPr>
            <w:tcW w:w="2675" w:type="dxa"/>
            <w:tcBorders>
              <w:bottom w:val="single" w:sz="12" w:space="0" w:color="000000"/>
            </w:tcBorders>
            <w:vAlign w:val="center"/>
          </w:tcPr>
          <w:p>
            <w:pPr>
              <w:pStyle w:val="TableContents"/>
              <w:bidi w:val="0"/>
              <w:spacing w:before="0" w:after="283"/>
              <w:jc w:val="left"/>
              <w:rPr>
                <w:b/>
              </w:rPr>
            </w:pPr>
            <w:r>
              <w:rPr>
                <w:b/>
              </w:rPr>
              <w:t>Range of exercise prices $</w:t>
            </w:r>
          </w:p>
        </w:tc>
        <w:tc>
          <w:tcPr>
            <w:tcW w:w="9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Number</w:t>
              <w:br/>
              <w:t>outstanding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Weighted</w:t>
              <w:br/>
              <w:t>Average</w:t>
              <w:br/>
              <w:t>Remaining</w:t>
              <w:br/>
              <w:t>Contractual</w:t>
              <w:br/>
              <w:t>Life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gridSpan w:val="2"/>
            <w:tcBorders>
              <w:bottom w:val="single" w:sz="12" w:space="0" w:color="000000"/>
            </w:tcBorders>
            <w:vAlign w:val="center"/>
          </w:tcPr>
          <w:p>
            <w:pPr>
              <w:pStyle w:val="TableContents"/>
              <w:bidi w:val="0"/>
              <w:spacing w:before="0" w:after="283"/>
              <w:jc w:val="center"/>
              <w:rPr>
                <w:b/>
              </w:rPr>
            </w:pPr>
            <w:r>
              <w:rPr>
                <w:b/>
              </w:rPr>
              <w:t>Weighted</w:t>
              <w:br/>
              <w:t>Average</w:t>
              <w:br/>
              <w:t>Exercise</w:t>
              <w:br/>
              <w:t>Price $</w:t>
            </w:r>
          </w:p>
        </w:tc>
        <w:tc>
          <w:tcPr>
            <w:tcW w:w="135" w:type="dxa"/>
            <w:tcBorders/>
            <w:tcMar>
              <w:bottom w:w="0" w:type="dxa"/>
            </w:tcMar>
            <w:vAlign w:val="center"/>
          </w:tcPr>
          <w:p>
            <w:pPr>
              <w:pStyle w:val="TableContents"/>
              <w:bidi w:val="0"/>
              <w:spacing w:before="0" w:after="283"/>
              <w:jc w:val="left"/>
              <w:rPr/>
            </w:pPr>
            <w:r>
              <w:rPr/>
              <w:t> </w:t>
            </w:r>
          </w:p>
        </w:tc>
      </w:tr>
      <w:tr>
        <w:trPr/>
        <w:tc>
          <w:tcPr>
            <w:tcW w:w="2675" w:type="dxa"/>
            <w:tcBorders/>
            <w:shd w:fill="CCEEFF" w:val="clear"/>
            <w:tcMar>
              <w:bottom w:w="0" w:type="dxa"/>
            </w:tcMar>
            <w:vAlign w:val="center"/>
          </w:tcPr>
          <w:p>
            <w:pPr>
              <w:pStyle w:val="TableContents"/>
              <w:bidi w:val="0"/>
              <w:spacing w:before="0" w:after="283"/>
              <w:jc w:val="left"/>
              <w:rPr/>
            </w:pPr>
            <w:r>
              <w:rPr/>
              <w:t>3.74-5.08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110" w:type="dxa"/>
            <w:tcBorders>
              <w:bottom w:val="double" w:sz="10" w:space="0" w:color="000000"/>
            </w:tcBorders>
            <w:shd w:fill="CCEEFF" w:val="clear"/>
            <w:vAlign w:val="center"/>
          </w:tcPr>
          <w:p>
            <w:pPr>
              <w:pStyle w:val="TableContents"/>
              <w:bidi w:val="0"/>
              <w:spacing w:before="0" w:after="283"/>
              <w:jc w:val="right"/>
              <w:rPr/>
            </w:pPr>
            <w:r>
              <w:rPr/>
              <w:t>47,000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05" w:type="dxa"/>
            <w:tcBorders>
              <w:bottom w:val="double" w:sz="10" w:space="0" w:color="000000"/>
            </w:tcBorders>
            <w:shd w:fill="CCEEFF" w:val="clear"/>
            <w:vAlign w:val="center"/>
          </w:tcPr>
          <w:p>
            <w:pPr>
              <w:pStyle w:val="TableContents"/>
              <w:bidi w:val="0"/>
              <w:spacing w:before="0" w:after="283"/>
              <w:jc w:val="left"/>
              <w:rPr/>
            </w:pPr>
            <w:r>
              <w:rPr/>
              <w:t> </w:t>
            </w:r>
          </w:p>
        </w:tc>
        <w:tc>
          <w:tcPr>
            <w:tcW w:w="1075" w:type="dxa"/>
            <w:tcBorders>
              <w:bottom w:val="double" w:sz="10" w:space="0" w:color="000000"/>
            </w:tcBorders>
            <w:shd w:fill="CCEEFF" w:val="clear"/>
            <w:vAlign w:val="center"/>
          </w:tcPr>
          <w:p>
            <w:pPr>
              <w:pStyle w:val="TableContents"/>
              <w:bidi w:val="0"/>
              <w:spacing w:before="0" w:after="283"/>
              <w:jc w:val="right"/>
              <w:rPr/>
            </w:pPr>
            <w:r>
              <w:rPr/>
              <w:t>3.98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10" w:space="0" w:color="000000"/>
            </w:tcBorders>
            <w:shd w:fill="CCEEFF" w:val="clear"/>
            <w:vAlign w:val="center"/>
          </w:tcPr>
          <w:p>
            <w:pPr>
              <w:pStyle w:val="TableContents"/>
              <w:bidi w:val="0"/>
              <w:spacing w:before="0" w:after="283"/>
              <w:jc w:val="left"/>
              <w:rPr/>
            </w:pPr>
            <w:r>
              <w:rPr/>
              <w:t> </w:t>
            </w:r>
          </w:p>
        </w:tc>
        <w:tc>
          <w:tcPr>
            <w:tcW w:w="861" w:type="dxa"/>
            <w:tcBorders>
              <w:bottom w:val="double" w:sz="10" w:space="0" w:color="000000"/>
            </w:tcBorders>
            <w:shd w:fill="CCEEFF" w:val="clear"/>
            <w:vAlign w:val="center"/>
          </w:tcPr>
          <w:p>
            <w:pPr>
              <w:pStyle w:val="TableContents"/>
              <w:bidi w:val="0"/>
              <w:spacing w:before="0" w:after="283"/>
              <w:jc w:val="right"/>
              <w:rPr/>
            </w:pPr>
            <w:r>
              <w:rPr/>
              <w:t>4.31</w:t>
            </w:r>
          </w:p>
        </w:tc>
        <w:tc>
          <w:tcPr>
            <w:tcW w:w="13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105"/>
        <w:gridCol w:w="230"/>
        <w:gridCol w:w="188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Restricted stock units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activities for unvested RSUs and PSUs granted to employees and directors for the years ended December 31, 2025 and 2024:</w:t>
      </w:r>
    </w:p>
    <w:p>
      <w:pPr>
        <w:pStyle w:val="TextBody"/>
        <w:bidi w:val="0"/>
        <w:spacing w:before="0" w:after="0"/>
        <w:ind w:left="720" w:right="0" w:hanging="0"/>
        <w:jc w:val="both"/>
        <w:rPr>
          <w:caps w:val="false"/>
          <w:smallCaps w:val="false"/>
        </w:rPr>
      </w:pPr>
      <w:r>
        <w:rPr>
          <w:caps w:val="false"/>
          <w:smallCaps w:val="false"/>
        </w:rPr>
        <w:t> </w:t>
      </w:r>
    </w:p>
    <w:tbl>
      <w:tblPr>
        <w:tblW w:w="6265" w:type="dxa"/>
        <w:jc w:val="left"/>
        <w:tblInd w:w="0" w:type="dxa"/>
        <w:tblLayout w:type="fixed"/>
        <w:tblCellMar>
          <w:top w:w="0" w:type="dxa"/>
          <w:left w:w="0" w:type="dxa"/>
          <w:bottom w:w="0" w:type="dxa"/>
          <w:right w:w="0" w:type="dxa"/>
        </w:tblCellMar>
      </w:tblPr>
      <w:tblGrid>
        <w:gridCol w:w="3515"/>
        <w:gridCol w:w="90"/>
        <w:gridCol w:w="90"/>
        <w:gridCol w:w="1085"/>
        <w:gridCol w:w="125"/>
        <w:gridCol w:w="90"/>
        <w:gridCol w:w="90"/>
        <w:gridCol w:w="1010"/>
        <w:gridCol w:w="170"/>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70" w:type="dxa"/>
            <w:tcBorders/>
            <w:vAlign w:val="center"/>
          </w:tcPr>
          <w:p>
            <w:pPr>
              <w:pStyle w:val="TableContents"/>
              <w:bidi w:val="0"/>
              <w:spacing w:before="0" w:after="283"/>
              <w:jc w:val="center"/>
              <w:rPr/>
            </w:pPr>
            <w:r>
              <w:rPr/>
              <w:t> </w:t>
            </w:r>
          </w:p>
        </w:tc>
      </w:tr>
      <w:tr>
        <w:trPr/>
        <w:tc>
          <w:tcPr>
            <w:tcW w:w="35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center"/>
              <w:rPr/>
            </w:pPr>
            <w:r>
              <w:rPr/>
              <w:t> </w:t>
            </w:r>
          </w:p>
        </w:tc>
      </w:tr>
      <w:tr>
        <w:trPr/>
        <w:tc>
          <w:tcPr>
            <w:tcW w:w="35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Number of RSUs</w:t>
            </w:r>
          </w:p>
        </w:tc>
        <w:tc>
          <w:tcPr>
            <w:tcW w:w="17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Outstanding at the beginning of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2,572,065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1,834,362</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Changes during the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Granted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3,228,791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1,792,460</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Issued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(1,410,437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(617,542</w:t>
            </w:r>
          </w:p>
        </w:tc>
        <w:tc>
          <w:tcPr>
            <w:tcW w:w="170" w:type="dxa"/>
            <w:tcBorders/>
            <w:vAlign w:val="center"/>
          </w:tcPr>
          <w:p>
            <w:pPr>
              <w:pStyle w:val="TableContents"/>
              <w:bidi w:val="0"/>
              <w:spacing w:before="0" w:after="283"/>
              <w:jc w:val="left"/>
              <w:rPr/>
            </w:pPr>
            <w:r>
              <w:rPr/>
              <w:t>)</w:t>
            </w:r>
          </w:p>
        </w:tc>
      </w:tr>
      <w:tr>
        <w:trPr/>
        <w:tc>
          <w:tcPr>
            <w:tcW w:w="3515" w:type="dxa"/>
            <w:tcBorders/>
            <w:shd w:fill="CCEEFF" w:val="clear"/>
            <w:vAlign w:val="center"/>
          </w:tcPr>
          <w:p>
            <w:pPr>
              <w:pStyle w:val="TableContents"/>
              <w:bidi w:val="0"/>
              <w:spacing w:before="0" w:after="283"/>
              <w:jc w:val="left"/>
              <w:rPr/>
            </w:pPr>
            <w:r>
              <w:rPr/>
              <w:t>Forfeited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(6,925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(386,445</w:t>
            </w:r>
          </w:p>
        </w:tc>
        <w:tc>
          <w:tcPr>
            <w:tcW w:w="170" w:type="dxa"/>
            <w:tcBorders/>
            <w:shd w:fill="CCEEFF" w:val="clear"/>
            <w:vAlign w:val="center"/>
          </w:tcPr>
          <w:p>
            <w:pPr>
              <w:pStyle w:val="TableContents"/>
              <w:bidi w:val="0"/>
              <w:spacing w:before="0" w:after="283"/>
              <w:jc w:val="left"/>
              <w:rPr/>
            </w:pPr>
            <w:r>
              <w:rPr/>
              <w:t>)</w:t>
            </w:r>
          </w:p>
        </w:tc>
      </w:tr>
      <w:tr>
        <w:trPr/>
        <w:tc>
          <w:tcPr>
            <w:tcW w:w="3515" w:type="dxa"/>
            <w:tcBorders/>
            <w:vAlign w:val="center"/>
          </w:tcPr>
          <w:p>
            <w:pPr>
              <w:pStyle w:val="TableContents"/>
              <w:bidi w:val="0"/>
              <w:spacing w:before="0" w:after="283"/>
              <w:jc w:val="left"/>
              <w:rPr/>
            </w:pPr>
            <w:r>
              <w:rPr/>
              <w:t>Expired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right"/>
              <w:rPr/>
            </w:pPr>
            <w:r>
              <w:rPr/>
              <w:t>(50,770</w:t>
            </w:r>
          </w:p>
        </w:tc>
        <w:tc>
          <w:tcPr>
            <w:tcW w:w="170" w:type="dxa"/>
            <w:tcBorders/>
            <w:vAlign w:val="center"/>
          </w:tcPr>
          <w:p>
            <w:pPr>
              <w:pStyle w:val="TableContents"/>
              <w:bidi w:val="0"/>
              <w:spacing w:before="0" w:after="283"/>
              <w:jc w:val="left"/>
              <w:rPr/>
            </w:pPr>
            <w:r>
              <w:rPr/>
              <w:t>)</w:t>
            </w:r>
          </w:p>
        </w:tc>
      </w:tr>
      <w:tr>
        <w:trPr/>
        <w:tc>
          <w:tcPr>
            <w:tcW w:w="3515" w:type="dxa"/>
            <w:tcBorders/>
            <w:shd w:fill="CCEEFF" w:val="clear"/>
            <w:vAlign w:val="center"/>
          </w:tcPr>
          <w:p>
            <w:pPr>
              <w:pStyle w:val="TableContents"/>
              <w:bidi w:val="0"/>
              <w:spacing w:before="0" w:after="283"/>
              <w:jc w:val="left"/>
              <w:rPr/>
            </w:pPr>
            <w:r>
              <w:rPr/>
              <w:t>Outstanding at the end of the year</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4,383,494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2,572,065</w:t>
            </w:r>
          </w:p>
        </w:tc>
        <w:tc>
          <w:tcPr>
            <w:tcW w:w="170"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Vested during the year</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1,880,104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925,937</w:t>
            </w:r>
          </w:p>
        </w:tc>
        <w:tc>
          <w:tcPr>
            <w:tcW w:w="170"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Vested and unissued at year end</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952,928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483,261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compensation expenses related to RSUs and PSUs of $5,063 for the year ended December 31, 2025 and $3,787 for the year ended December 31, 2024.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unrecognized compensation costs of $5,041 related to RSUs and PSUs. The unrecognized compensation costs are expected to be recognized over a weighted average period of 0.72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total compensation expenses of $5,152 and $4,053 for the years ended December 31, 2025 and 2024, respectively. $1,893 and $1,998 were included in Research and Development expenses, $3,259 and $2,055 were included in General and Administrative expenses for the years ended December 31, 2025 and 2024,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F-39</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INCOME (LOSS) PER SHARE OF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basic and diluted income per common stock (in thousands, except for share and per share amounts):</w:t>
      </w:r>
    </w:p>
    <w:p>
      <w:pPr>
        <w:pStyle w:val="TextBody"/>
        <w:bidi w:val="0"/>
        <w:spacing w:before="0" w:after="0"/>
        <w:ind w:left="720" w:right="0" w:hanging="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5465"/>
        <w:gridCol w:w="90"/>
        <w:gridCol w:w="90"/>
        <w:gridCol w:w="1130"/>
        <w:gridCol w:w="125"/>
        <w:gridCol w:w="90"/>
        <w:gridCol w:w="90"/>
        <w:gridCol w:w="1130"/>
        <w:gridCol w:w="170"/>
      </w:tblGrid>
      <w:tr>
        <w:trPr/>
        <w:tc>
          <w:tcPr>
            <w:tcW w:w="54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6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7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b/>
              </w:rPr>
            </w:pPr>
            <w:r>
              <w:rPr>
                <w:b/>
              </w:rPr>
              <w:t>Basic income (loss) per common stock (numerator):</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Net income (loss) applicable to common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64,050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(19,060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vAlign w:val="center"/>
          </w:tcPr>
          <w:p>
            <w:pPr>
              <w:pStyle w:val="TableContents"/>
              <w:bidi w:val="0"/>
              <w:spacing w:before="0" w:after="283"/>
              <w:jc w:val="both"/>
              <w:rPr/>
            </w:pPr>
            <w:r>
              <w:rPr/>
              <w:t>Adjustment for dividends attributable to unvested RSUs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(808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Net income (loss) applicable to common stock – basic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(19,060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vAlign w:val="center"/>
          </w:tcPr>
          <w:p>
            <w:pPr>
              <w:pStyle w:val="TableContents"/>
              <w:bidi w:val="0"/>
              <w:spacing w:before="0" w:after="283"/>
              <w:jc w:val="both"/>
              <w:rPr>
                <w:b/>
              </w:rPr>
            </w:pPr>
            <w:r>
              <w:rPr>
                <w:b/>
              </w:rPr>
              <w:t>common stock (denominator):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Weighted average number of common stock – basic</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41,402,997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40,850,446</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b/>
              </w:rPr>
            </w:pPr>
            <w:r>
              <w:rPr>
                <w:b/>
              </w:rPr>
              <w:t>Basic income (loss) per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(0.48</w:t>
            </w:r>
          </w:p>
        </w:tc>
        <w:tc>
          <w:tcPr>
            <w:tcW w:w="170" w:type="dxa"/>
            <w:tcBorders/>
            <w:vAlign w:val="center"/>
          </w:tcPr>
          <w:p>
            <w:pPr>
              <w:pStyle w:val="TableContents"/>
              <w:bidi w:val="0"/>
              <w:spacing w:before="0" w:after="283"/>
              <w:jc w:val="left"/>
              <w:rPr/>
            </w:pPr>
            <w:r>
              <w:rPr/>
              <w:t>)</w:t>
            </w:r>
          </w:p>
        </w:tc>
      </w:tr>
      <w:tr>
        <w:trPr/>
        <w:tc>
          <w:tcPr>
            <w:tcW w:w="5465"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b/>
              </w:rPr>
            </w:pPr>
            <w:r>
              <w:rPr>
                <w:b/>
              </w:rPr>
              <w:t>Diluted income (loss) per common stock (numerator):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Net income (loss) applicable to common stock – basic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63,242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(19,060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vAlign w:val="center"/>
          </w:tcPr>
          <w:p>
            <w:pPr>
              <w:pStyle w:val="TableContents"/>
              <w:bidi w:val="0"/>
              <w:spacing w:before="0" w:after="283"/>
              <w:jc w:val="both"/>
              <w:rPr/>
            </w:pPr>
            <w:r>
              <w:rPr/>
              <w:t>Adjustment for dividends attributable to unvested RSUs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Net income (loss) applicable to common stock – diluted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63,601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(19,060</w:t>
            </w:r>
          </w:p>
        </w:tc>
        <w:tc>
          <w:tcPr>
            <w:tcW w:w="170" w:type="dxa"/>
            <w:tcBorders/>
            <w:shd w:fill="CCEEFF" w:val="clear"/>
            <w:vAlign w:val="center"/>
          </w:tcPr>
          <w:p>
            <w:pPr>
              <w:pStyle w:val="TableContents"/>
              <w:bidi w:val="0"/>
              <w:spacing w:before="0" w:after="283"/>
              <w:jc w:val="left"/>
              <w:rPr/>
            </w:pPr>
            <w:r>
              <w:rPr/>
              <w:t>)</w:t>
            </w:r>
          </w:p>
        </w:tc>
      </w:tr>
      <w:tr>
        <w:trPr/>
        <w:tc>
          <w:tcPr>
            <w:tcW w:w="5465" w:type="dxa"/>
            <w:tcBorders/>
            <w:vAlign w:val="center"/>
          </w:tcPr>
          <w:p>
            <w:pPr>
              <w:pStyle w:val="TableContents"/>
              <w:bidi w:val="0"/>
              <w:spacing w:before="0" w:after="283"/>
              <w:jc w:val="both"/>
              <w:rPr>
                <w:b/>
              </w:rPr>
            </w:pPr>
            <w:r>
              <w:rPr>
                <w:b/>
              </w:rPr>
              <w:t>common stock (denominator):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Weighted average number of common stock – basic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41,402,997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40,850,446</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pPr>
            <w:r>
              <w:rPr/>
              <w:t>Diluted effect of RSUs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1,015,647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Weighted average number of common stock – diluted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42,418,644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40,850,446</w:t>
            </w:r>
          </w:p>
        </w:tc>
        <w:tc>
          <w:tcPr>
            <w:tcW w:w="170" w:type="dxa"/>
            <w:tcBorders/>
            <w:shd w:fill="CCEEFF" w:val="clear"/>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b/>
              </w:rPr>
            </w:pPr>
            <w:r>
              <w:rPr>
                <w:b/>
              </w:rPr>
              <w:t>Diluted income (loss) per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(0.48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options to purchase common stock, RSUs and warrants totaling 1,847,946 were excluded from the calculation of diluted income per common stock, as their effect was antidilutive. As the Company had a net loss for the year ended December 31, 2024, all potentially dilutive common stock, including options, warrants and RSUs totaling 3,549,490, were considered antidilutive and therefore excluded from the calculation of diluted income per common stock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FINANCIAL INCOME (LOSS), NET:</w:t>
      </w:r>
    </w:p>
    <w:p>
      <w:pPr>
        <w:pStyle w:val="TextBody"/>
        <w:bidi w:val="0"/>
        <w:spacing w:before="0" w:after="0"/>
        <w:ind w:left="720" w:right="0" w:hanging="0"/>
        <w:jc w:val="both"/>
        <w:rPr>
          <w:caps w:val="false"/>
          <w:smallCaps w:val="false"/>
        </w:rPr>
      </w:pPr>
      <w:r>
        <w:rPr>
          <w:caps w:val="false"/>
          <w:smallCaps w:val="false"/>
        </w:rPr>
        <w:t> </w:t>
      </w:r>
    </w:p>
    <w:tbl>
      <w:tblPr>
        <w:tblW w:w="8030" w:type="dxa"/>
        <w:jc w:val="left"/>
        <w:tblInd w:w="0" w:type="dxa"/>
        <w:tblLayout w:type="fixed"/>
        <w:tblCellMar>
          <w:top w:w="0" w:type="dxa"/>
          <w:left w:w="0" w:type="dxa"/>
          <w:bottom w:w="0" w:type="dxa"/>
          <w:right w:w="0" w:type="dxa"/>
        </w:tblCellMar>
      </w:tblPr>
      <w:tblGrid>
        <w:gridCol w:w="5840"/>
        <w:gridCol w:w="90"/>
        <w:gridCol w:w="170"/>
        <w:gridCol w:w="710"/>
        <w:gridCol w:w="125"/>
        <w:gridCol w:w="90"/>
        <w:gridCol w:w="170"/>
        <w:gridCol w:w="665"/>
        <w:gridCol w:w="170"/>
      </w:tblGrid>
      <w:tr>
        <w:trPr/>
        <w:tc>
          <w:tcPr>
            <w:tcW w:w="58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7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both"/>
              <w:rPr/>
            </w:pPr>
            <w:r>
              <w:rPr/>
              <w:t>Revaluation of investments, net:</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   </w:t>
            </w:r>
            <w:r>
              <w:rPr/>
              <w:t>Revaluation of Scilex, net (see note 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44,647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(4,359</w:t>
            </w:r>
          </w:p>
        </w:tc>
        <w:tc>
          <w:tcPr>
            <w:tcW w:w="170" w:type="dxa"/>
            <w:tcBorders/>
            <w:shd w:fill="CCEEFF" w:val="clear"/>
            <w:vAlign w:val="center"/>
          </w:tcPr>
          <w:p>
            <w:pPr>
              <w:pStyle w:val="TableContents"/>
              <w:bidi w:val="0"/>
              <w:spacing w:before="0" w:after="283"/>
              <w:jc w:val="left"/>
              <w:rPr/>
            </w:pPr>
            <w:r>
              <w:rPr/>
              <w:t>)</w:t>
            </w:r>
          </w:p>
        </w:tc>
      </w:tr>
      <w:tr>
        <w:trPr/>
        <w:tc>
          <w:tcPr>
            <w:tcW w:w="5840" w:type="dxa"/>
            <w:tcBorders/>
            <w:vAlign w:val="center"/>
          </w:tcPr>
          <w:p>
            <w:pPr>
              <w:pStyle w:val="TableContents"/>
              <w:bidi w:val="0"/>
              <w:spacing w:before="0" w:after="283"/>
              <w:jc w:val="both"/>
              <w:rPr/>
            </w:pPr>
            <w:r>
              <w:rPr/>
              <w:t>   </w:t>
            </w:r>
            <w:r>
              <w:rPr/>
              <w:t>Revaluation of Hapisga, net (see note 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   </w:t>
            </w:r>
            <w:r>
              <w:rPr/>
              <w:t>Revaluation of Alpha Tau, net (see note 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36,997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both"/>
              <w:rPr/>
            </w:pPr>
            <w:r>
              <w:rPr/>
              <w:t>   </w:t>
            </w:r>
            <w:r>
              <w:rPr/>
              <w:t>Revaluation of RoyaltyVest loan, net (see note 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   </w:t>
            </w:r>
            <w:r>
              <w:rPr/>
              <w:t>Revaluation of Profit Sharing Loan Agreement (see note 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57</w:t>
            </w:r>
          </w:p>
        </w:tc>
        <w:tc>
          <w:tcPr>
            <w:tcW w:w="170" w:type="dxa"/>
            <w:tcBorders/>
            <w:shd w:fill="CCEEFF" w:val="cle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both"/>
              <w:rPr/>
            </w:pPr>
            <w:r>
              <w:rPr/>
              <w:t>   </w:t>
            </w:r>
            <w:r>
              <w:rPr/>
              <w:t>Revaluation of Convertible Note (see note 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   </w:t>
            </w:r>
            <w:r>
              <w:rPr/>
              <w:t>Revaluation of other marketable securities (see note 4)</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3,212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(3,114</w:t>
            </w:r>
          </w:p>
        </w:tc>
        <w:tc>
          <w:tcPr>
            <w:tcW w:w="170" w:type="dxa"/>
            <w:tcBorders/>
            <w:shd w:fill="CCEEFF" w:val="clear"/>
            <w:vAlign w:val="center"/>
          </w:tcPr>
          <w:p>
            <w:pPr>
              <w:pStyle w:val="TableContents"/>
              <w:bidi w:val="0"/>
              <w:spacing w:before="0" w:after="283"/>
              <w:jc w:val="left"/>
              <w:rPr/>
            </w:pPr>
            <w:r>
              <w:rPr/>
              <w:t>)</w:t>
            </w:r>
          </w:p>
        </w:tc>
      </w:tr>
      <w:tr>
        <w:trPr/>
        <w:tc>
          <w:tcPr>
            <w:tcW w:w="58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87,939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(7,416</w:t>
            </w:r>
          </w:p>
        </w:tc>
        <w:tc>
          <w:tcPr>
            <w:tcW w:w="170" w:type="dxa"/>
            <w:tcBorders/>
            <w:vAlign w:val="center"/>
          </w:tcPr>
          <w:p>
            <w:pPr>
              <w:pStyle w:val="TableContents"/>
              <w:bidi w:val="0"/>
              <w:spacing w:before="0" w:after="283"/>
              <w:jc w:val="left"/>
              <w:rPr/>
            </w:pPr>
            <w:r>
              <w:rPr/>
              <w:t>)</w:t>
            </w:r>
          </w:p>
        </w:tc>
      </w:tr>
      <w:tr>
        <w:trPr/>
        <w:tc>
          <w:tcPr>
            <w:tcW w:w="5840" w:type="dxa"/>
            <w:tcBorders/>
            <w:shd w:fill="CCEEFF" w:val="clear"/>
            <w:vAlign w:val="center"/>
          </w:tcPr>
          <w:p>
            <w:pPr>
              <w:pStyle w:val="TableContents"/>
              <w:bidi w:val="0"/>
              <w:spacing w:before="0" w:after="283"/>
              <w:jc w:val="both"/>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2,373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4,983</w:t>
            </w:r>
          </w:p>
        </w:tc>
        <w:tc>
          <w:tcPr>
            <w:tcW w:w="170" w:type="dxa"/>
            <w:tcBorders/>
            <w:shd w:fill="CCEEFF" w:val="cle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both"/>
              <w:rPr/>
            </w:pPr>
            <w:r>
              <w:rPr/>
              <w:t>Exchange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174</w:t>
            </w:r>
          </w:p>
        </w:tc>
        <w:tc>
          <w:tcPr>
            <w:tcW w:w="17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both"/>
              <w:rPr/>
            </w:pPr>
            <w:r>
              <w:rPr/>
              <w:t>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(606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170" w:type="dxa"/>
            <w:tcBorders/>
            <w:shd w:fill="CCEEFF" w:val="clear"/>
            <w:vAlign w:val="center"/>
          </w:tcPr>
          <w:p>
            <w:pPr>
              <w:pStyle w:val="TableContents"/>
              <w:bidi w:val="0"/>
              <w:spacing w:before="0" w:after="283"/>
              <w:jc w:val="left"/>
              <w:rPr/>
            </w:pPr>
            <w:r>
              <w:rPr/>
              <w:t>)</w:t>
            </w:r>
          </w:p>
        </w:tc>
      </w:tr>
      <w:tr>
        <w:trPr/>
        <w:tc>
          <w:tcPr>
            <w:tcW w:w="58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89,454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(2,286</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TAXES ON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on income included in the consolidated statements of comprehensive income (loss) represent current taxes due to taxable income of the Company.</w:t>
      </w:r>
    </w:p>
    <w:p>
      <w:pPr>
        <w:pStyle w:val="TextBody"/>
        <w:bidi w:val="0"/>
        <w:spacing w:before="0" w:after="0"/>
        <w:ind w:left="72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6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Corporate taxation in the 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corporate tax rate for the Company is 21%.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utilized all of its outstanding net operating loss (“NOL”). Oravax had an accumulated tax loss carryforward of approximately $3,395 (as of December 31, 2024, $3,386). Under U.S. tax laws, subject to certain limitations, carryforward tax losses originating in tax years beginning after January 1, 2018, have no expiration date, but they are limited to 80% of the company’s taxable income in any given tax year. Carryforward tax losses originating in tax years beginning prior to January 1, 2018, expire 20 years after the year in which incurred.</w:t>
      </w:r>
    </w:p>
    <w:p>
      <w:pPr>
        <w:pStyle w:val="TextBody"/>
        <w:bidi w:val="0"/>
        <w:spacing w:before="0" w:after="0"/>
        <w:ind w:left="72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105"/>
        <w:gridCol w:w="200"/>
        <w:gridCol w:w="2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4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Corporate taxation in Israel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is taxed in accordance with Israeli tax laws. The corporate tax rate applicable to 2025 and 2024 is 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Subsidiary and Oravax Medical Ltd. had an accumulated tax loss carryforward of approximately $115,623 (as of December 31, 2024, approximately $113,419). Under the Israeli tax laws, carryforward tax losses have no expiration date.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991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paid for income taxes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U.S. federal income taxes was $3,318 and $0 for the years ended December 31, 2025 and 2024, respectively.</w:t>
            </w:r>
          </w:p>
        </w:tc>
      </w:tr>
    </w:tbl>
    <w:p>
      <w:pPr>
        <w:pStyle w:val="TextBody"/>
        <w:bidi w:val="0"/>
        <w:spacing w:before="0" w:after="0"/>
        <w:ind w:left="0" w:right="0" w:hanging="0"/>
        <w:jc w:val="center"/>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05"/>
        <w:gridCol w:w="200"/>
        <w:gridCol w:w="19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9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Deferred income taxes</w:t>
            </w:r>
          </w:p>
        </w:tc>
      </w:tr>
    </w:tbl>
    <w:p>
      <w:pPr>
        <w:pStyle w:val="TextBody"/>
        <w:bidi w:val="0"/>
        <w:spacing w:before="0" w:after="0"/>
        <w:ind w:left="720" w:right="0" w:hanging="0"/>
        <w:jc w:val="both"/>
        <w:rPr>
          <w:caps w:val="false"/>
          <w:smallCaps w:val="false"/>
        </w:rPr>
      </w:pPr>
      <w:r>
        <w:rPr>
          <w:caps w:val="false"/>
          <w:smallCaps w:val="false"/>
        </w:rPr>
        <w:t> </w:t>
      </w:r>
    </w:p>
    <w:tbl>
      <w:tblPr>
        <w:tblW w:w="5915" w:type="dxa"/>
        <w:jc w:val="left"/>
        <w:tblInd w:w="0" w:type="dxa"/>
        <w:tblLayout w:type="fixed"/>
        <w:tblCellMar>
          <w:top w:w="0" w:type="dxa"/>
          <w:left w:w="0" w:type="dxa"/>
          <w:bottom w:w="0" w:type="dxa"/>
          <w:right w:w="0" w:type="dxa"/>
        </w:tblCellMar>
      </w:tblPr>
      <w:tblGrid>
        <w:gridCol w:w="3530"/>
        <w:gridCol w:w="90"/>
        <w:gridCol w:w="170"/>
        <w:gridCol w:w="785"/>
        <w:gridCol w:w="125"/>
        <w:gridCol w:w="90"/>
        <w:gridCol w:w="170"/>
        <w:gridCol w:w="785"/>
        <w:gridCol w:w="170"/>
      </w:tblGrid>
      <w:tr>
        <w:trPr/>
        <w:tc>
          <w:tcPr>
            <w:tcW w:w="3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In respect of:</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Net operating loss carryforward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27,306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26,797</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Research and development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1,220</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Revaluation of investments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(7,973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5,608</w:t>
            </w:r>
          </w:p>
        </w:tc>
        <w:tc>
          <w:tcPr>
            <w:tcW w:w="170"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both"/>
              <w:rPr/>
            </w:pPr>
            <w:r>
              <w:rPr/>
              <w:t>Other temporary differences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2,495</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both"/>
              <w:rPr/>
            </w:pPr>
            <w:r>
              <w:rPr/>
              <w:t>Less -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(28,383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(36,120</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both"/>
              <w:rPr/>
            </w:pPr>
            <w:r>
              <w:rPr/>
              <w:t>Net deferred tax liability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(7,911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taxes are determined based on temporary differences between financial reporting and tax bases of assets and liabilities and are measured using the enacted tax rates and laws that will be in effect when the differences are expected to reverse.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full valuation allowance against the deferred tax assets of certain entities, as management has determined that it is not more likely than not that such deferred tax assets will be realized.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F-41</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18 - TAXES ON INCOME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85"/>
        <w:gridCol w:w="99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9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(Loss) before taxes on income and income taxes included in the consolidated statements of comprehensive income (loss)</w:t>
            </w:r>
          </w:p>
        </w:tc>
      </w:tr>
    </w:tbl>
    <w:p>
      <w:pPr>
        <w:pStyle w:val="TextBody"/>
        <w:bidi w:val="0"/>
        <w:spacing w:before="0" w:after="0"/>
        <w:ind w:left="720" w:right="0" w:hanging="0"/>
        <w:jc w:val="both"/>
        <w:rPr>
          <w:caps w:val="false"/>
          <w:smallCaps w:val="false"/>
        </w:rPr>
      </w:pPr>
      <w:r>
        <w:rPr>
          <w:caps w:val="false"/>
          <w:smallCaps w:val="false"/>
        </w:rPr>
        <w:t> </w:t>
      </w:r>
    </w:p>
    <w:tbl>
      <w:tblPr>
        <w:tblW w:w="5960" w:type="dxa"/>
        <w:jc w:val="left"/>
        <w:tblInd w:w="0" w:type="dxa"/>
        <w:tblLayout w:type="fixed"/>
        <w:tblCellMar>
          <w:top w:w="0" w:type="dxa"/>
          <w:left w:w="0" w:type="dxa"/>
          <w:bottom w:w="0" w:type="dxa"/>
          <w:right w:w="0" w:type="dxa"/>
        </w:tblCellMar>
      </w:tblPr>
      <w:tblGrid>
        <w:gridCol w:w="3650"/>
        <w:gridCol w:w="90"/>
        <w:gridCol w:w="170"/>
        <w:gridCol w:w="710"/>
        <w:gridCol w:w="125"/>
        <w:gridCol w:w="90"/>
        <w:gridCol w:w="170"/>
        <w:gridCol w:w="785"/>
        <w:gridCol w:w="170"/>
      </w:tblGrid>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20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Income (loss) before taxes on income:</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U.S.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46,424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(8,853</w:t>
            </w:r>
          </w:p>
        </w:tc>
        <w:tc>
          <w:tcPr>
            <w:tcW w:w="170" w:type="dxa"/>
            <w:tcBorders/>
            <w:shd w:fill="CCEEFF" w:val="clear"/>
            <w:vAlign w:val="center"/>
          </w:tcPr>
          <w:p>
            <w:pPr>
              <w:pStyle w:val="TableContents"/>
              <w:bidi w:val="0"/>
              <w:spacing w:before="0" w:after="283"/>
              <w:jc w:val="left"/>
              <w:rPr/>
            </w:pPr>
            <w:r>
              <w:rPr/>
              <w:t>)</w:t>
            </w:r>
          </w:p>
        </w:tc>
      </w:tr>
      <w:tr>
        <w:trPr/>
        <w:tc>
          <w:tcPr>
            <w:tcW w:w="3650" w:type="dxa"/>
            <w:tcBorders/>
            <w:vAlign w:val="center"/>
          </w:tcPr>
          <w:p>
            <w:pPr>
              <w:pStyle w:val="TableContents"/>
              <w:bidi w:val="0"/>
              <w:spacing w:before="0" w:after="283"/>
              <w:jc w:val="both"/>
              <w:rPr/>
            </w:pPr>
            <w:r>
              <w:rPr/>
              <w:t>Outside U.S.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28,900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(7,067</w:t>
            </w:r>
          </w:p>
        </w:tc>
        <w:tc>
          <w:tcPr>
            <w:tcW w:w="170" w:type="dxa"/>
            <w:tcBorders/>
            <w:vAlign w:val="center"/>
          </w:tcPr>
          <w:p>
            <w:pPr>
              <w:pStyle w:val="TableContents"/>
              <w:bidi w:val="0"/>
              <w:spacing w:before="0" w:after="283"/>
              <w:jc w:val="left"/>
              <w:rPr/>
            </w:pPr>
            <w:r>
              <w:rPr/>
              <w:t>)</w:t>
            </w:r>
          </w:p>
        </w:tc>
      </w:tr>
      <w:tr>
        <w:trPr/>
        <w:tc>
          <w:tcPr>
            <w:tcW w:w="36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75,324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(15,920</w:t>
            </w:r>
          </w:p>
        </w:tc>
        <w:tc>
          <w:tcPr>
            <w:tcW w:w="170" w:type="dxa"/>
            <w:tcBorders/>
            <w:shd w:fill="CCEEFF" w:val="clear"/>
            <w:vAlign w:val="center"/>
          </w:tcPr>
          <w:p>
            <w:pPr>
              <w:pStyle w:val="TableContents"/>
              <w:bidi w:val="0"/>
              <w:spacing w:before="0" w:after="283"/>
              <w:jc w:val="left"/>
              <w:rPr/>
            </w:pPr>
            <w:r>
              <w:rPr/>
              <w:t>)</w:t>
            </w:r>
          </w:p>
        </w:tc>
      </w:tr>
      <w:tr>
        <w:trPr/>
        <w:tc>
          <w:tcPr>
            <w:tcW w:w="3650" w:type="dxa"/>
            <w:tcBorders/>
            <w:vAlign w:val="center"/>
          </w:tcPr>
          <w:p>
            <w:pPr>
              <w:pStyle w:val="TableContents"/>
              <w:bidi w:val="0"/>
              <w:spacing w:before="0" w:after="283"/>
              <w:jc w:val="both"/>
              <w:rPr/>
            </w:pPr>
            <w:r>
              <w:rPr/>
              <w:t>Taxes on income (tax benefit):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Current: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U.S.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3,573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3,183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Outside U.S.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3,573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3,183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Deferred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U.S.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Outside U.S.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8,095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7,911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Prior Year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U.S.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Outside U.S.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(176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Total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U.S.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0" w:type="dxa"/>
            <w:tcBorders/>
            <w:vAlign w:val="center"/>
          </w:tcPr>
          <w:p>
            <w:pPr>
              <w:pStyle w:val="TableContents"/>
              <w:bidi w:val="0"/>
              <w:spacing w:before="0" w:after="283"/>
              <w:jc w:val="right"/>
              <w:rPr/>
            </w:pPr>
            <w:r>
              <w:rPr/>
              <w:t>3,213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3,183</w:t>
            </w:r>
          </w:p>
        </w:tc>
        <w:tc>
          <w:tcPr>
            <w:tcW w:w="170"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283"/>
              <w:jc w:val="both"/>
              <w:rPr/>
            </w:pPr>
            <w:r>
              <w:rPr/>
              <w:t>Outside U.S.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8,095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11,308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3,183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18 - TAXES ON INCOME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105"/>
        <w:gridCol w:w="155"/>
        <w:gridCol w:w="555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5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Reconciliation of the statutory tax benefit to effective tax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reconciliation of the theoretical tax expense, assuming all income is taxed at the regular tax rates applicable to companies in the United States, and the actual tax expense. The amounts for 2024 are presented prior to the adoption of ASU 2023-09, while the amounts for 2025 are presented after its adoption.</w:t>
      </w:r>
    </w:p>
    <w:p>
      <w:pPr>
        <w:pStyle w:val="TextBody"/>
        <w:bidi w:val="0"/>
        <w:spacing w:before="0" w:after="0"/>
        <w:ind w:left="720" w:right="0" w:hanging="0"/>
        <w:jc w:val="both"/>
        <w:rPr>
          <w:caps w:val="false"/>
          <w:smallCaps w:val="false"/>
        </w:rPr>
      </w:pPr>
      <w:r>
        <w:rPr>
          <w:caps w:val="false"/>
          <w:smallCaps w:val="false"/>
        </w:rPr>
        <w:t> </w:t>
      </w:r>
    </w:p>
    <w:tbl>
      <w:tblPr>
        <w:tblW w:w="9140" w:type="dxa"/>
        <w:jc w:val="left"/>
        <w:tblInd w:w="0" w:type="dxa"/>
        <w:tblLayout w:type="fixed"/>
        <w:tblCellMar>
          <w:top w:w="0" w:type="dxa"/>
          <w:left w:w="0" w:type="dxa"/>
          <w:bottom w:w="0" w:type="dxa"/>
          <w:right w:w="0" w:type="dxa"/>
        </w:tblCellMar>
      </w:tblPr>
      <w:tblGrid>
        <w:gridCol w:w="7925"/>
        <w:gridCol w:w="90"/>
        <w:gridCol w:w="170"/>
        <w:gridCol w:w="785"/>
        <w:gridCol w:w="170"/>
      </w:tblGrid>
      <w:tr>
        <w:trPr/>
        <w:tc>
          <w:tcPr>
            <w:tcW w:w="79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ind w:left="0" w:right="0" w:hanging="180"/>
              <w:jc w:val="left"/>
              <w:rPr/>
            </w:pPr>
            <w:r>
              <w:rPr/>
              <w:t> </w:t>
            </w:r>
          </w:p>
        </w:tc>
      </w:tr>
      <w:tr>
        <w:trPr/>
        <w:tc>
          <w:tcPr>
            <w:tcW w:w="7925" w:type="dxa"/>
            <w:tcBorders/>
            <w:shd w:fill="CCEEFF" w:val="clear"/>
            <w:vAlign w:val="center"/>
          </w:tcPr>
          <w:p>
            <w:pPr>
              <w:pStyle w:val="TableContents"/>
              <w:bidi w:val="0"/>
              <w:spacing w:before="0" w:after="283"/>
              <w:jc w:val="left"/>
              <w:rPr/>
            </w:pPr>
            <w:r>
              <w:rPr/>
              <w:t>Income (loss) before taxes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pPr>
            <w:r>
              <w:rPr/>
              <w:t>(15,920</w:t>
            </w:r>
          </w:p>
        </w:tc>
        <w:tc>
          <w:tcPr>
            <w:tcW w:w="170" w:type="dxa"/>
            <w:tcBorders/>
            <w:shd w:fill="CCEEFF" w:val="clear"/>
            <w:vAlign w:val="center"/>
          </w:tcPr>
          <w:p>
            <w:pPr>
              <w:pStyle w:val="TableContents"/>
              <w:bidi w:val="0"/>
              <w:spacing w:before="0" w:after="283"/>
              <w:jc w:val="left"/>
              <w:rPr/>
            </w:pPr>
            <w:r>
              <w:rPr/>
              <w:t>)</w:t>
            </w:r>
          </w:p>
        </w:tc>
      </w:tr>
      <w:tr>
        <w:trPr/>
        <w:tc>
          <w:tcPr>
            <w:tcW w:w="79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283"/>
              <w:jc w:val="left"/>
              <w:rPr/>
            </w:pPr>
            <w:r>
              <w:rPr/>
              <w:t>Statutory tax (benefit) expense – 21%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(3,343</w:t>
            </w:r>
          </w:p>
        </w:tc>
        <w:tc>
          <w:tcPr>
            <w:tcW w:w="170" w:type="dxa"/>
            <w:tcBorders/>
            <w:shd w:fill="CCEEFF" w:val="clear"/>
            <w:vAlign w:val="center"/>
          </w:tcPr>
          <w:p>
            <w:pPr>
              <w:pStyle w:val="TableContents"/>
              <w:bidi w:val="0"/>
              <w:spacing w:before="0" w:after="283"/>
              <w:jc w:val="left"/>
              <w:rPr/>
            </w:pPr>
            <w:r>
              <w:rPr/>
              <w:t>)</w:t>
            </w:r>
          </w:p>
        </w:tc>
      </w:tr>
      <w:tr>
        <w:trPr/>
        <w:tc>
          <w:tcPr>
            <w:tcW w:w="7925" w:type="dxa"/>
            <w:tcBorders/>
            <w:vAlign w:val="center"/>
          </w:tcPr>
          <w:p>
            <w:pPr>
              <w:pStyle w:val="TableContents"/>
              <w:bidi w:val="0"/>
              <w:spacing w:before="0" w:after="283"/>
              <w:jc w:val="left"/>
              <w:rPr>
                <w:u w:val="single"/>
              </w:rPr>
            </w:pPr>
            <w:r>
              <w:rPr>
                <w:u w:val="single"/>
              </w:rPr>
              <w:t>Increase (decrease) in income taxes resulting from:</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925" w:type="dxa"/>
            <w:tcBorders/>
            <w:shd w:fill="CCEEFF" w:val="clear"/>
            <w:vAlign w:val="center"/>
          </w:tcPr>
          <w:p>
            <w:pPr>
              <w:pStyle w:val="TableContents"/>
              <w:bidi w:val="0"/>
              <w:spacing w:before="0" w:after="283"/>
              <w:jc w:val="left"/>
              <w:rPr/>
            </w:pPr>
            <w:r>
              <w:rPr/>
              <w:t>Change in 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7,647</w:t>
            </w:r>
          </w:p>
        </w:tc>
        <w:tc>
          <w:tcPr>
            <w:tcW w:w="170" w:type="dxa"/>
            <w:tcBorders/>
            <w:shd w:fill="CCEEFF" w:val="clear"/>
            <w:vAlign w:val="center"/>
          </w:tcPr>
          <w:p>
            <w:pPr>
              <w:pStyle w:val="TableContents"/>
              <w:bidi w:val="0"/>
              <w:spacing w:before="0" w:after="283"/>
              <w:jc w:val="left"/>
              <w:rPr/>
            </w:pPr>
            <w:r>
              <w:rPr/>
              <w:t> </w:t>
            </w:r>
          </w:p>
        </w:tc>
      </w:tr>
      <w:tr>
        <w:trPr/>
        <w:tc>
          <w:tcPr>
            <w:tcW w:w="7925" w:type="dxa"/>
            <w:tcBorders/>
            <w:vAlign w:val="center"/>
          </w:tcPr>
          <w:p>
            <w:pPr>
              <w:pStyle w:val="TableContents"/>
              <w:bidi w:val="0"/>
              <w:spacing w:before="0" w:after="283"/>
              <w:jc w:val="left"/>
              <w:rPr/>
            </w:pPr>
            <w:r>
              <w:rPr/>
              <w:t>Disallowable deductions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(878</w:t>
            </w:r>
          </w:p>
        </w:tc>
        <w:tc>
          <w:tcPr>
            <w:tcW w:w="170" w:type="dxa"/>
            <w:tcBorders/>
            <w:vAlign w:val="center"/>
          </w:tcPr>
          <w:p>
            <w:pPr>
              <w:pStyle w:val="TableContents"/>
              <w:bidi w:val="0"/>
              <w:spacing w:before="0" w:after="283"/>
              <w:jc w:val="left"/>
              <w:rPr/>
            </w:pPr>
            <w:r>
              <w:rPr/>
              <w:t>)</w:t>
            </w:r>
          </w:p>
        </w:tc>
      </w:tr>
      <w:tr>
        <w:trPr/>
        <w:tc>
          <w:tcPr>
            <w:tcW w:w="7925" w:type="dxa"/>
            <w:tcBorders/>
            <w:shd w:fill="CCEEFF" w:val="clear"/>
            <w:vAlign w:val="center"/>
          </w:tcPr>
          <w:p>
            <w:pPr>
              <w:pStyle w:val="TableContents"/>
              <w:bidi w:val="0"/>
              <w:spacing w:before="0" w:after="283"/>
              <w:jc w:val="left"/>
              <w:rPr/>
            </w:pPr>
            <w:r>
              <w:rPr/>
              <w:t>Influence of different tax rate applicable to the Subsidiary and Oravax Medical Ltd.</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(219</w:t>
            </w:r>
          </w:p>
        </w:tc>
        <w:tc>
          <w:tcPr>
            <w:tcW w:w="170" w:type="dxa"/>
            <w:tcBorders/>
            <w:shd w:fill="CCEEFF" w:val="clear"/>
            <w:vAlign w:val="center"/>
          </w:tcPr>
          <w:p>
            <w:pPr>
              <w:pStyle w:val="TableContents"/>
              <w:bidi w:val="0"/>
              <w:spacing w:before="0" w:after="283"/>
              <w:jc w:val="left"/>
              <w:rPr/>
            </w:pPr>
            <w:r>
              <w:rPr/>
              <w:t>)</w:t>
            </w:r>
          </w:p>
        </w:tc>
      </w:tr>
      <w:tr>
        <w:trPr/>
        <w:tc>
          <w:tcPr>
            <w:tcW w:w="7925" w:type="dxa"/>
            <w:tcBorders/>
            <w:vAlign w:val="center"/>
          </w:tcPr>
          <w:p>
            <w:pPr>
              <w:pStyle w:val="TableContents"/>
              <w:bidi w:val="0"/>
              <w:spacing w:before="0" w:after="283"/>
              <w:jc w:val="left"/>
              <w:rPr/>
            </w:pPr>
            <w:r>
              <w:rPr/>
              <w:t>Prior year adjustments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w:t>
            </w:r>
          </w:p>
        </w:tc>
      </w:tr>
      <w:tr>
        <w:trPr/>
        <w:tc>
          <w:tcPr>
            <w:tcW w:w="7925" w:type="dxa"/>
            <w:tcBorders/>
            <w:shd w:fill="CCEEFF" w:val="clear"/>
            <w:vAlign w:val="center"/>
          </w:tcPr>
          <w:p>
            <w:pPr>
              <w:pStyle w:val="TableContents"/>
              <w:bidi w:val="0"/>
              <w:spacing w:before="0" w:after="283"/>
              <w:jc w:val="left"/>
              <w:rPr/>
            </w:pPr>
            <w:r>
              <w:rPr/>
              <w:t>Uncertain tax position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w:t>
            </w:r>
          </w:p>
        </w:tc>
      </w:tr>
      <w:tr>
        <w:trPr/>
        <w:tc>
          <w:tcPr>
            <w:tcW w:w="7925" w:type="dxa"/>
            <w:tcBorders/>
            <w:vAlign w:val="center"/>
          </w:tcPr>
          <w:p>
            <w:pPr>
              <w:pStyle w:val="TableContents"/>
              <w:bidi w:val="0"/>
              <w:spacing w:before="0" w:after="283"/>
              <w:jc w:val="left"/>
              <w:rPr/>
            </w:pPr>
            <w:r>
              <w:rPr/>
              <w:t>Taxes on income for the reported year</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3,183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28" w:type="dxa"/>
          <w:right w:w="0" w:type="dxa"/>
        </w:tblCellMar>
      </w:tblPr>
      <w:tblGrid>
        <w:gridCol w:w="5825"/>
        <w:gridCol w:w="90"/>
        <w:gridCol w:w="171"/>
        <w:gridCol w:w="719"/>
        <w:gridCol w:w="125"/>
        <w:gridCol w:w="90"/>
        <w:gridCol w:w="133"/>
        <w:gridCol w:w="697"/>
        <w:gridCol w:w="170"/>
      </w:tblGrid>
      <w:tr>
        <w:trPr/>
        <w:tc>
          <w:tcPr>
            <w:tcW w:w="5825" w:type="dxa"/>
            <w:tcBorders>
              <w:bottom w:val="single" w:sz="12" w:space="0" w:color="000000"/>
            </w:tcBorders>
            <w:vAlign w:val="center"/>
          </w:tcPr>
          <w:p>
            <w:pPr>
              <w:pStyle w:val="TableContents"/>
              <w:bidi w:val="0"/>
              <w:spacing w:before="0" w:after="283"/>
              <w:jc w:val="left"/>
              <w:rPr>
                <w:b/>
              </w:rPr>
            </w:pPr>
            <w:r>
              <w:rPr>
                <w:b/>
              </w:rPr>
              <w:t>Year ended December 31, 2025</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center"/>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12" w:space="0" w:color="000000"/>
            </w:tcBorders>
            <w:vAlign w:val="center"/>
          </w:tcPr>
          <w:p>
            <w:pPr>
              <w:pStyle w:val="TableContents"/>
              <w:bidi w:val="0"/>
              <w:spacing w:before="0" w:after="283"/>
              <w:jc w:val="center"/>
              <w:rPr>
                <w:b/>
              </w:rPr>
            </w:pPr>
            <w:r>
              <w:rPr>
                <w:b/>
              </w:rPr>
              <w:t>Percent</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U.S. federal statutory tax rate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w:t>
            </w:r>
          </w:p>
        </w:tc>
        <w:tc>
          <w:tcPr>
            <w:tcW w:w="719" w:type="dxa"/>
            <w:tcBorders/>
            <w:shd w:fill="CCEEFF" w:val="clear"/>
            <w:tcMar>
              <w:bottom w:w="0" w:type="dxa"/>
            </w:tcMar>
            <w:vAlign w:val="center"/>
          </w:tcPr>
          <w:p>
            <w:pPr>
              <w:pStyle w:val="TableContents"/>
              <w:bidi w:val="0"/>
              <w:spacing w:before="0" w:after="283"/>
              <w:jc w:val="right"/>
              <w:rPr/>
            </w:pPr>
            <w:r>
              <w:rPr/>
              <w:t>15,818</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21</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pPr>
            <w:r>
              <w:rPr/>
              <w:t>Foreign tax effects</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 </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 </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Israel</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 </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pPr>
            <w:r>
              <w:rPr/>
              <w:t>Share-based payment awards</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2,573</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3.4</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Changes In Valuation 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(1,137</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(1.5</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tcMar>
              <w:bottom w:w="0" w:type="dxa"/>
            </w:tcMar>
            <w:vAlign w:val="center"/>
          </w:tcPr>
          <w:p>
            <w:pPr>
              <w:pStyle w:val="TableContents"/>
              <w:bidi w:val="0"/>
              <w:spacing w:before="0" w:after="283"/>
              <w:jc w:val="left"/>
              <w:rPr/>
            </w:pPr>
            <w:r>
              <w:rPr/>
              <w:t>Statutory tax rate difference between Israel and United States</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579</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0.8</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13</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0.0</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5825" w:type="dxa"/>
            <w:tcBorders/>
            <w:tcMar>
              <w:bottom w:w="0" w:type="dxa"/>
            </w:tcMar>
            <w:vAlign w:val="center"/>
          </w:tcPr>
          <w:p>
            <w:pPr>
              <w:pStyle w:val="TableContents"/>
              <w:bidi w:val="0"/>
              <w:spacing w:before="0" w:after="283"/>
              <w:jc w:val="left"/>
              <w:rPr/>
            </w:pPr>
            <w:r>
              <w:rPr/>
              <w:t>Effect of cross-border tax laws</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114</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0.2</w:t>
            </w:r>
          </w:p>
        </w:tc>
        <w:tc>
          <w:tcPr>
            <w:tcW w:w="170" w:type="dxa"/>
            <w:tcBorders/>
            <w:tcMar>
              <w:bottom w:w="0" w:type="dxa"/>
            </w:tcMar>
            <w:vAlign w:val="center"/>
          </w:tcPr>
          <w:p>
            <w:pPr>
              <w:pStyle w:val="TableContents"/>
              <w:bidi w:val="0"/>
              <w:spacing w:before="0" w:after="283"/>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Change in the valuation allowance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(6,600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697" w:type="dxa"/>
            <w:tcBorders/>
            <w:shd w:fill="CCEEFF" w:val="clear"/>
            <w:tcMar>
              <w:bottom w:w="0" w:type="dxa"/>
            </w:tcMar>
            <w:vAlign w:val="center"/>
          </w:tcPr>
          <w:p>
            <w:pPr>
              <w:pStyle w:val="TableContents"/>
              <w:bidi w:val="0"/>
              <w:spacing w:before="0" w:after="283"/>
              <w:jc w:val="right"/>
              <w:rPr/>
            </w:pPr>
            <w:r>
              <w:rPr/>
              <w:t>(8.8</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tcMar>
              <w:bottom w:w="0" w:type="dxa"/>
            </w:tcMar>
            <w:vAlign w:val="center"/>
          </w:tcPr>
          <w:p>
            <w:pPr>
              <w:pStyle w:val="TableContents"/>
              <w:bidi w:val="0"/>
              <w:spacing w:before="0" w:after="283"/>
              <w:jc w:val="left"/>
              <w:rPr/>
            </w:pPr>
            <w:r>
              <w:rPr/>
              <w:t>Nontaxable or nondeductible items</w:t>
            </w:r>
          </w:p>
        </w:tc>
        <w:tc>
          <w:tcPr>
            <w:tcW w:w="90" w:type="dxa"/>
            <w:tcBorders/>
            <w:tcMar>
              <w:bottom w:w="0" w:type="dxa"/>
            </w:tcMar>
            <w:vAlign w:val="center"/>
          </w:tcPr>
          <w:p>
            <w:pPr>
              <w:pStyle w:val="TableContents"/>
              <w:bidi w:val="0"/>
              <w:spacing w:before="0" w:after="283"/>
              <w:jc w:val="left"/>
              <w:rPr/>
            </w:pPr>
            <w:r>
              <w:rPr/>
              <w:t> </w:t>
            </w:r>
          </w:p>
        </w:tc>
        <w:tc>
          <w:tcPr>
            <w:tcW w:w="171"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122</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tcMar>
              <w:bottom w:w="0" w:type="dxa"/>
            </w:tcMar>
            <w:vAlign w:val="center"/>
          </w:tcPr>
          <w:p>
            <w:pPr>
              <w:pStyle w:val="TableContents"/>
              <w:bidi w:val="0"/>
              <w:spacing w:before="0" w:after="283"/>
              <w:jc w:val="left"/>
              <w:rPr/>
            </w:pPr>
            <w:r>
              <w:rPr/>
              <w:t> </w:t>
            </w:r>
          </w:p>
        </w:tc>
        <w:tc>
          <w:tcPr>
            <w:tcW w:w="697" w:type="dxa"/>
            <w:tcBorders/>
            <w:tcMar>
              <w:bottom w:w="0" w:type="dxa"/>
            </w:tcMar>
            <w:vAlign w:val="center"/>
          </w:tcPr>
          <w:p>
            <w:pPr>
              <w:pStyle w:val="TableContents"/>
              <w:bidi w:val="0"/>
              <w:spacing w:before="0" w:after="283"/>
              <w:jc w:val="right"/>
              <w:rPr/>
            </w:pPr>
            <w:r>
              <w:rPr/>
              <w:t>0.2</w:t>
            </w:r>
          </w:p>
        </w:tc>
        <w:tc>
          <w:tcPr>
            <w:tcW w:w="170" w:type="dxa"/>
            <w:tcBorders/>
            <w:tcMar>
              <w:bottom w:w="0" w:type="dxa"/>
            </w:tcMar>
            <w:vAlign w:val="center"/>
          </w:tcPr>
          <w:p>
            <w:pPr>
              <w:pStyle w:val="TableContents"/>
              <w:bidi w:val="0"/>
              <w:spacing w:before="0" w:after="283"/>
              <w:ind w:left="0" w:right="0" w:hanging="177"/>
              <w:jc w:val="left"/>
              <w:rPr/>
            </w:pPr>
            <w:r>
              <w:rPr/>
              <w:t> </w:t>
            </w:r>
          </w:p>
        </w:tc>
      </w:tr>
      <w:tr>
        <w:trPr/>
        <w:tc>
          <w:tcPr>
            <w:tcW w:w="5825" w:type="dxa"/>
            <w:tcBorders/>
            <w:shd w:fill="CCEEFF" w:val="clear"/>
            <w:tcMar>
              <w:bottom w:w="0" w:type="dxa"/>
            </w:tcMar>
            <w:vAlign w:val="center"/>
          </w:tcPr>
          <w:p>
            <w:pPr>
              <w:pStyle w:val="TableContents"/>
              <w:bidi w:val="0"/>
              <w:spacing w:before="0" w:after="283"/>
              <w:jc w:val="left"/>
              <w:rPr/>
            </w:pPr>
            <w:r>
              <w:rPr/>
              <w:t>Other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1" w:type="dxa"/>
            <w:tcBorders>
              <w:bottom w:val="double" w:sz="10" w:space="0" w:color="000000"/>
            </w:tcBorders>
            <w:shd w:fill="CCEEFF" w:val="clear"/>
            <w:vAlign w:val="center"/>
          </w:tcPr>
          <w:p>
            <w:pPr>
              <w:pStyle w:val="TableContents"/>
              <w:bidi w:val="0"/>
              <w:spacing w:before="0" w:after="283"/>
              <w:jc w:val="left"/>
              <w:rPr/>
            </w:pPr>
            <w:r>
              <w:rPr/>
              <w:t> </w:t>
            </w:r>
          </w:p>
        </w:tc>
        <w:tc>
          <w:tcPr>
            <w:tcW w:w="719" w:type="dxa"/>
            <w:tcBorders>
              <w:bottom w:val="double" w:sz="10" w:space="0" w:color="000000"/>
            </w:tcBorders>
            <w:shd w:fill="CCEEFF" w:val="clear"/>
            <w:vAlign w:val="center"/>
          </w:tcPr>
          <w:p>
            <w:pPr>
              <w:pStyle w:val="TableContents"/>
              <w:bidi w:val="0"/>
              <w:spacing w:before="0" w:after="283"/>
              <w:jc w:val="right"/>
              <w:rPr/>
            </w:pPr>
            <w:r>
              <w:rPr/>
              <w:t>(174</w:t>
            </w:r>
          </w:p>
        </w:tc>
        <w:tc>
          <w:tcPr>
            <w:tcW w:w="125" w:type="dxa"/>
            <w:tcBorders/>
            <w:shd w:fill="CCEEFF" w:val="clear"/>
            <w:tcMar>
              <w:bottom w:w="0" w:type="dxa"/>
            </w:tcMar>
            <w:vAlign w:val="center"/>
          </w:tcPr>
          <w:p>
            <w:pPr>
              <w:pStyle w:val="TableContents"/>
              <w:bidi w:val="0"/>
              <w:spacing w:before="0" w:after="283"/>
              <w:jc w:val="lef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3" w:type="dxa"/>
            <w:tcBorders>
              <w:bottom w:val="double" w:sz="10" w:space="0" w:color="000000"/>
            </w:tcBorders>
            <w:shd w:fill="CCEEFF" w:val="clear"/>
            <w:vAlign w:val="center"/>
          </w:tcPr>
          <w:p>
            <w:pPr>
              <w:pStyle w:val="TableContents"/>
              <w:bidi w:val="0"/>
              <w:spacing w:before="0" w:after="283"/>
              <w:jc w:val="left"/>
              <w:rPr/>
            </w:pPr>
            <w:r>
              <w:rPr/>
              <w:t> </w:t>
            </w:r>
          </w:p>
        </w:tc>
        <w:tc>
          <w:tcPr>
            <w:tcW w:w="697" w:type="dxa"/>
            <w:tcBorders>
              <w:bottom w:val="double" w:sz="10" w:space="0" w:color="000000"/>
            </w:tcBorders>
            <w:shd w:fill="CCEEFF" w:val="clear"/>
            <w:vAlign w:val="center"/>
          </w:tcPr>
          <w:p>
            <w:pPr>
              <w:pStyle w:val="TableContents"/>
              <w:bidi w:val="0"/>
              <w:spacing w:before="0" w:after="283"/>
              <w:jc w:val="right"/>
              <w:rPr/>
            </w:pPr>
            <w:r>
              <w:rPr/>
              <w:t>(0.2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5825" w:type="dxa"/>
            <w:tcBorders/>
            <w:tcMar>
              <w:bottom w:w="0" w:type="dxa"/>
            </w:tcMar>
            <w:vAlign w:val="center"/>
          </w:tcPr>
          <w:p>
            <w:pPr>
              <w:pStyle w:val="TableContents"/>
              <w:bidi w:val="0"/>
              <w:spacing w:before="0" w:after="283"/>
              <w:jc w:val="left"/>
              <w:rPr/>
            </w:pPr>
            <w:r>
              <w:rPr/>
              <w:t>Effective Tax Rate</w:t>
            </w:r>
          </w:p>
        </w:tc>
        <w:tc>
          <w:tcPr>
            <w:tcW w:w="90" w:type="dxa"/>
            <w:tcBorders/>
            <w:tcMar>
              <w:bottom w:w="0" w:type="dxa"/>
            </w:tcMar>
            <w:vAlign w:val="center"/>
          </w:tcPr>
          <w:p>
            <w:pPr>
              <w:pStyle w:val="TableContents"/>
              <w:bidi w:val="0"/>
              <w:spacing w:before="0" w:after="283"/>
              <w:jc w:val="left"/>
              <w:rPr/>
            </w:pPr>
            <w:r>
              <w:rPr/>
              <w:t> </w:t>
            </w:r>
          </w:p>
        </w:tc>
        <w:tc>
          <w:tcPr>
            <w:tcW w:w="171" w:type="dxa"/>
            <w:tcBorders>
              <w:bottom w:val="double" w:sz="10" w:space="0" w:color="000000"/>
            </w:tcBorders>
            <w:vAlign w:val="center"/>
          </w:tcPr>
          <w:p>
            <w:pPr>
              <w:pStyle w:val="TableContents"/>
              <w:bidi w:val="0"/>
              <w:spacing w:before="0" w:after="283"/>
              <w:jc w:val="left"/>
              <w:rPr/>
            </w:pPr>
            <w:r>
              <w:rPr/>
              <w:t>$</w:t>
            </w:r>
          </w:p>
        </w:tc>
        <w:tc>
          <w:tcPr>
            <w:tcW w:w="719" w:type="dxa"/>
            <w:tcBorders>
              <w:bottom w:val="double" w:sz="10" w:space="0" w:color="000000"/>
            </w:tcBorders>
            <w:vAlign w:val="center"/>
          </w:tcPr>
          <w:p>
            <w:pPr>
              <w:pStyle w:val="TableContents"/>
              <w:bidi w:val="0"/>
              <w:spacing w:before="0" w:after="283"/>
              <w:jc w:val="right"/>
              <w:rPr/>
            </w:pPr>
            <w:r>
              <w:rPr/>
              <w:t>11,308</w:t>
            </w:r>
          </w:p>
        </w:tc>
        <w:tc>
          <w:tcPr>
            <w:tcW w:w="1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3" w:type="dxa"/>
            <w:tcBorders>
              <w:bottom w:val="double" w:sz="10" w:space="0" w:color="000000"/>
            </w:tcBorders>
            <w:vAlign w:val="center"/>
          </w:tcPr>
          <w:p>
            <w:pPr>
              <w:pStyle w:val="TableContents"/>
              <w:bidi w:val="0"/>
              <w:spacing w:before="0" w:after="283"/>
              <w:jc w:val="left"/>
              <w:rPr/>
            </w:pPr>
            <w:r>
              <w:rPr/>
              <w:t> </w:t>
            </w:r>
          </w:p>
        </w:tc>
        <w:tc>
          <w:tcPr>
            <w:tcW w:w="697" w:type="dxa"/>
            <w:tcBorders>
              <w:bottom w:val="double" w:sz="10" w:space="0" w:color="000000"/>
            </w:tcBorders>
            <w:vAlign w:val="center"/>
          </w:tcPr>
          <w:p>
            <w:pPr>
              <w:pStyle w:val="TableContents"/>
              <w:bidi w:val="0"/>
              <w:spacing w:before="0" w:after="283"/>
              <w:jc w:val="right"/>
              <w:rPr/>
            </w:pPr>
            <w:r>
              <w:rPr/>
              <w:t>15.0</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F-43</w:t>
      </w:r>
    </w:p>
    <w:p>
      <w:pPr>
        <w:pStyle w:val="TextBody"/>
        <w:bidi w:val="0"/>
        <w:spacing w:before="0" w:after="0"/>
        <w:jc w:val="center"/>
        <w:rPr/>
      </w:pPr>
      <w:r>
        <w:rPr/>
        <w:t> </w:t>
      </w:r>
    </w:p>
    <w:p>
      <w:pPr>
        <w:pStyle w:val="TextBody"/>
        <w:bidi w:val="0"/>
        <w:spacing w:before="0" w:after="0"/>
        <w:ind w:left="142" w:right="0" w:firstLine="141"/>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18 - TAXES ON INCOME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105"/>
        <w:gridCol w:w="200"/>
        <w:gridCol w:w="2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w:t>
            </w:r>
          </w:p>
        </w:tc>
        <w:tc>
          <w:tcPr>
            <w:tcW w:w="25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Uncertainty in Income Taxes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“Income Taxes” requires significant judgment in determining what constitutes an individual tax position as well as assessing the outcome of each tax position. Changes in judgment as to recognition or measurement of tax positions can materially affect the estimate of the effective tax rate and consequently, affect the operating results of the Company. The Company recognizes interest and penalties related to its tax contingencies as income tax expense.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activity of the Company unrecognized tax benefits:</w:t>
      </w:r>
    </w:p>
    <w:p>
      <w:pPr>
        <w:pStyle w:val="TextBody"/>
        <w:bidi w:val="0"/>
        <w:spacing w:before="0" w:after="0"/>
        <w:ind w:left="720" w:right="0" w:hanging="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5210"/>
        <w:gridCol w:w="90"/>
        <w:gridCol w:w="171"/>
        <w:gridCol w:w="550"/>
        <w:gridCol w:w="90"/>
        <w:gridCol w:w="90"/>
        <w:gridCol w:w="171"/>
        <w:gridCol w:w="368"/>
        <w:gridCol w:w="170"/>
      </w:tblGrid>
      <w:tr>
        <w:trPr/>
        <w:tc>
          <w:tcPr>
            <w:tcW w:w="52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7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pPr>
            <w:r>
              <w:rPr/>
              <w:t>Balance at Beginning of Year</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550" w:type="dxa"/>
            <w:tcBorders/>
            <w:shd w:fill="CCEEFF" w:val="clear"/>
            <w:vAlign w:val="center"/>
          </w:tcPr>
          <w:p>
            <w:pPr>
              <w:pStyle w:val="TableContents"/>
              <w:bidi w:val="0"/>
              <w:spacing w:before="0" w:after="0"/>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368" w:type="dxa"/>
            <w:tcBorders/>
            <w:shd w:fill="CCEEFF" w:val="clear"/>
            <w:vAlign w:val="center"/>
          </w:tcPr>
          <w:p>
            <w:pPr>
              <w:pStyle w:val="TableContents"/>
              <w:bidi w:val="0"/>
              <w:spacing w:before="0" w:after="283"/>
              <w:jc w:val="right"/>
              <w:rPr/>
            </w:pPr>
            <w:r>
              <w:rPr/>
              <w:t>11</w:t>
            </w:r>
          </w:p>
        </w:tc>
        <w:tc>
          <w:tcPr>
            <w:tcW w:w="170"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both"/>
              <w:rPr/>
            </w:pPr>
            <w:r>
              <w:rPr/>
              <w:t>Decrease in uncertain tax positions for the current year</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55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368" w:type="dxa"/>
            <w:tcBorders>
              <w:bottom w:val="single" w:sz="12" w:space="0" w:color="000000"/>
            </w:tcBorders>
            <w:tcMar>
              <w:bottom w:w="28" w:type="dxa"/>
            </w:tcMar>
            <w:vAlign w:val="center"/>
          </w:tcPr>
          <w:p>
            <w:pPr>
              <w:pStyle w:val="TableContents"/>
              <w:bidi w:val="0"/>
              <w:spacing w:before="0" w:after="283"/>
              <w:jc w:val="right"/>
              <w:rPr/>
            </w:pPr>
            <w:r>
              <w:rPr/>
              <w:t>(11</w:t>
            </w:r>
          </w:p>
        </w:tc>
        <w:tc>
          <w:tcPr>
            <w:tcW w:w="170" w:type="dxa"/>
            <w:tcBorders/>
            <w:vAlign w:val="center"/>
          </w:tcPr>
          <w:p>
            <w:pPr>
              <w:pStyle w:val="TableContents"/>
              <w:bidi w:val="0"/>
              <w:spacing w:before="0" w:after="283"/>
              <w:jc w:val="left"/>
              <w:rPr/>
            </w:pPr>
            <w:r>
              <w:rPr/>
              <w:t>)</w:t>
            </w:r>
          </w:p>
        </w:tc>
      </w:tr>
      <w:tr>
        <w:trPr/>
        <w:tc>
          <w:tcPr>
            <w:tcW w:w="5210" w:type="dxa"/>
            <w:tcBorders/>
            <w:shd w:fill="CCEEFF" w:val="clear"/>
            <w:vAlign w:val="center"/>
          </w:tcPr>
          <w:p>
            <w:pPr>
              <w:pStyle w:val="TableContents"/>
              <w:bidi w:val="0"/>
              <w:spacing w:before="0" w:after="283"/>
              <w:jc w:val="both"/>
              <w:rPr/>
            </w:pPr>
            <w:r>
              <w:rPr/>
              <w:t>Balance at End of Year</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5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368"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expect unrecognized tax expenses to change significantly over the next 12 months.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income tax examinations for the tax years of 2021 through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is subject to Israeli income tax examinations for the tax years of 2019 through 2025.</w:t>
      </w:r>
    </w:p>
    <w:p>
      <w:pPr>
        <w:pStyle w:val="TextBody"/>
        <w:bidi w:val="0"/>
        <w:spacing w:before="0" w:after="0"/>
        <w:ind w:left="72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05"/>
        <w:gridCol w:w="200"/>
        <w:gridCol w:w="29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Valuation Allowance Rollforward</w:t>
            </w:r>
          </w:p>
        </w:tc>
      </w:tr>
    </w:tbl>
    <w:p>
      <w:pPr>
        <w:pStyle w:val="TextBody"/>
        <w:bidi w:val="0"/>
        <w:spacing w:before="0" w:after="0"/>
        <w:ind w:left="720" w:right="0" w:hanging="0"/>
        <w:jc w:val="both"/>
        <w:rPr>
          <w:caps w:val="false"/>
          <w:smallCaps w:val="false"/>
        </w:rPr>
      </w:pPr>
      <w:r>
        <w:rPr>
          <w:caps w:val="false"/>
          <w:smallCaps w:val="false"/>
        </w:rPr>
        <w:t> </w:t>
      </w:r>
    </w:p>
    <w:tbl>
      <w:tblPr>
        <w:tblW w:w="8767" w:type="dxa"/>
        <w:jc w:val="left"/>
        <w:tblInd w:w="0" w:type="dxa"/>
        <w:tblLayout w:type="fixed"/>
        <w:tblCellMar>
          <w:top w:w="0" w:type="dxa"/>
          <w:left w:w="0" w:type="dxa"/>
          <w:bottom w:w="0" w:type="dxa"/>
          <w:right w:w="0" w:type="dxa"/>
        </w:tblCellMar>
      </w:tblPr>
      <w:tblGrid>
        <w:gridCol w:w="4625"/>
        <w:gridCol w:w="90"/>
        <w:gridCol w:w="214"/>
        <w:gridCol w:w="900"/>
        <w:gridCol w:w="90"/>
        <w:gridCol w:w="90"/>
        <w:gridCol w:w="263"/>
        <w:gridCol w:w="1031"/>
        <w:gridCol w:w="125"/>
        <w:gridCol w:w="90"/>
        <w:gridCol w:w="215"/>
        <w:gridCol w:w="899"/>
        <w:gridCol w:w="135"/>
      </w:tblGrid>
      <w:tr>
        <w:trPr/>
        <w:tc>
          <w:tcPr>
            <w:tcW w:w="46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391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Balance at</w:t>
              <w:br/>
              <w:t>beginning</w:t>
              <w:br/>
              <w:t>of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Additions</w:t>
              <w:br/>
              <w:t>(deductions)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Balance at</w:t>
              <w:br/>
              <w:t>end of</w:t>
              <w:br/>
              <w:t>year</w:t>
            </w:r>
          </w:p>
        </w:tc>
        <w:tc>
          <w:tcPr>
            <w:tcW w:w="135"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Allowance in respect of carryforward tax losses:</w:t>
            </w:r>
          </w:p>
        </w:tc>
        <w:tc>
          <w:tcPr>
            <w:tcW w:w="9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625" w:type="dxa"/>
            <w:tcBorders/>
            <w:shd w:fill="CCEEFF" w:val="clear"/>
            <w:vAlign w:val="center"/>
          </w:tcPr>
          <w:p>
            <w:pPr>
              <w:pStyle w:val="TableContents"/>
              <w:bidi w:val="0"/>
              <w:spacing w:before="0" w:after="283"/>
              <w:jc w:val="both"/>
              <w:rPr/>
            </w:pPr>
            <w:r>
              <w:rPr/>
              <w:t>Year ended December 31, 2025</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36,120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031" w:type="dxa"/>
            <w:tcBorders/>
            <w:shd w:fill="CCEEFF" w:val="clear"/>
            <w:vAlign w:val="center"/>
          </w:tcPr>
          <w:p>
            <w:pPr>
              <w:pStyle w:val="TableContents"/>
              <w:bidi w:val="0"/>
              <w:spacing w:before="0" w:after="283"/>
              <w:jc w:val="right"/>
              <w:rPr/>
            </w:pPr>
            <w:r>
              <w:rPr/>
              <w:t>(7,737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899" w:type="dxa"/>
            <w:tcBorders/>
            <w:shd w:fill="CCEEFF" w:val="clear"/>
            <w:vAlign w:val="center"/>
          </w:tcPr>
          <w:p>
            <w:pPr>
              <w:pStyle w:val="TableContents"/>
              <w:bidi w:val="0"/>
              <w:spacing w:before="0" w:after="283"/>
              <w:jc w:val="right"/>
              <w:rPr/>
            </w:pPr>
            <w:r>
              <w:rPr/>
              <w:t>28,383</w:t>
            </w:r>
          </w:p>
        </w:tc>
        <w:tc>
          <w:tcPr>
            <w:tcW w:w="135" w:type="dxa"/>
            <w:tcBorders/>
            <w:shd w:fill="CCEEFF" w:val="cle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both"/>
              <w:rPr/>
            </w:pPr>
            <w:r>
              <w:rPr/>
              <w:t>Year ended December 31, 2024</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w:t>
            </w:r>
          </w:p>
        </w:tc>
        <w:tc>
          <w:tcPr>
            <w:tcW w:w="900" w:type="dxa"/>
            <w:tcBorders/>
            <w:vAlign w:val="center"/>
          </w:tcPr>
          <w:p>
            <w:pPr>
              <w:pStyle w:val="TableContents"/>
              <w:bidi w:val="0"/>
              <w:spacing w:before="0" w:after="283"/>
              <w:jc w:val="right"/>
              <w:rPr/>
            </w:pPr>
            <w:r>
              <w:rPr/>
              <w:t>28,473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031" w:type="dxa"/>
            <w:tcBorders/>
            <w:vAlign w:val="center"/>
          </w:tcPr>
          <w:p>
            <w:pPr>
              <w:pStyle w:val="TableContents"/>
              <w:bidi w:val="0"/>
              <w:spacing w:before="0" w:after="283"/>
              <w:jc w:val="right"/>
              <w:rPr/>
            </w:pPr>
            <w:r>
              <w:rPr/>
              <w:t>7,647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899" w:type="dxa"/>
            <w:tcBorders/>
            <w:vAlign w:val="center"/>
          </w:tcPr>
          <w:p>
            <w:pPr>
              <w:pStyle w:val="TableContents"/>
              <w:bidi w:val="0"/>
              <w:spacing w:before="0" w:after="283"/>
              <w:jc w:val="right"/>
              <w:rPr/>
            </w:pPr>
            <w:r>
              <w:rPr/>
              <w:t>36,120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F-44</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19 - SEGMENT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serving as the Chief Operating Decision Maker (CODM), evaluates operational performance and makes resource allocation decisions based on net income (loss), which is reported in the consolidated statements of comprehensive income. The Company has determined that it operates in a single reportable segment, focused on research and development activities related to its proprietary products and technologies.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monitors budgeted versus actual net income, using this measure to assess segment performance and guide financial planning, which is consistent with the financial statements. In addition to its research and development activities, the Company holds financial investments, including a material investment in Scilex, Hapisga and Alpha Tau, see note 4, note 7 and note 8. The CODM monitors these investments separately from operational performance. Income and expenses related to financial instruments are reported as financial income in the consolidated statements of comprehensive income, reflecting their distinct nature from core business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RELATED PARTY TRANSACTIONS:</w:t>
      </w:r>
    </w:p>
    <w:p>
      <w:pPr>
        <w:pStyle w:val="TextBody"/>
        <w:bidi w:val="0"/>
        <w:spacing w:before="0" w:after="0"/>
        <w:ind w:left="0" w:right="0" w:hanging="0"/>
        <w:jc w:val="left"/>
        <w:rPr>
          <w:caps w:val="false"/>
          <w:smallCaps w:val="false"/>
        </w:rPr>
      </w:pPr>
      <w:r>
        <w:rPr>
          <w:caps w:val="false"/>
          <w:smallCaps w:val="false"/>
        </w:rPr>
        <w:t> </w:t>
      </w:r>
    </w:p>
    <w:tbl>
      <w:tblPr>
        <w:tblW w:w="2283" w:type="dxa"/>
        <w:jc w:val="left"/>
        <w:tblInd w:w="0" w:type="dxa"/>
        <w:tblLayout w:type="fixed"/>
        <w:tblCellMar>
          <w:top w:w="0" w:type="dxa"/>
          <w:left w:w="0" w:type="dxa"/>
          <w:bottom w:w="0" w:type="dxa"/>
          <w:right w:w="0" w:type="dxa"/>
        </w:tblCellMar>
      </w:tblPr>
      <w:tblGrid>
        <w:gridCol w:w="68"/>
        <w:gridCol w:w="200"/>
        <w:gridCol w:w="20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Chief Scientific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2008, the Subsidiary entered into a consulting agreement with KNRY Ltd. (“KNRY”), an Israeli company owned by the Company’s Chief Scientific Officer, whereby the Chief Scientific Officer, through KNRY, provides services to the Company (the “Consulting Agreement”). The Consulting Agreement is terminable by either party upon 140 days prior written notice. The Consulting Agreement, as amended, provides that KNRY will be reimbursed for reasonable expenses incurred in connection with performance of the Consulting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July 1, 2024, the monthly consulting fee of the Chief Scientific Officer is NIS 134,550 ($40).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April 1, 2025, the Company entered into a consulting agreement with KNRY, whereby the Chief Scientific Officer, through KNRY, provides services as Chief Scientific Officer of the Company. The agreement is terminable by either party upon 140 days prior written notice. The agreement provides that KNRY will be reimbursed for reasonable expenses incurred in connection with performance of the agreement. The Chief Scientific Officer receives a monthly consulting fee of NIS 67,275 ($20). Pursuant to the agreement, KNRY and the Chief Scientific Officer each agree that during the term of the agreement and for a 12-month period thereafter, none of them will compete with the Company nor solicit employees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monthly consulting fee of the Chief Scientific Officer is NIS 71,648 ($22).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through the Subsidiary, has entered into an employment agreement with the Chief Scientific Officer, effective as of April 1, 2025, pursuant to which the Chief Scientific Officer receives a gross monthly salary of NIS 51,750 ($16) in consideration for her services as Chief Scientific Officer of the Subsidiary. In addition, the Chief Scientific Officer is provided with a phone and a company car pursuant to the terms of her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gross monthly salary of the Chief Scientific Officer is NIS 55,114 ($17).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F-45</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20 - RELATED PARTY TRANSACTIONS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68"/>
        <w:gridCol w:w="200"/>
        <w:gridCol w:w="32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President and Chief Executive Officer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July 1, 2024, the Company entered into a consulting agreement with Shnida Ltd. (“Shnida”), whereby the Company’s President and Chief Executive Officer, through Shnida, provides services as President and Chief Executive Officer of the Company. The agreement is terminable by either party upon 140 days prior written notice. The agreement provides that Shnida will be reimbursed for reasonable expenses incurred in connection with performance of the agreement. Effective as of January 1, 2024, the President and Chief Executive Officer receives a monthly consulting fee of NIS 111,349 ($34). Pursuant to the agreement, Shnida and the President and Chief Executive Officer each agree that during the term of the agreement and for a 12-month period thereafter, none of them will compete with the Company nor solicit employees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monthly consulting fee of the Chief Executive Officer is NIS 118,587 ($37).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through the Subsidiary, has entered into an employment agreement with the President and Chief Executive Officer, effective as of July 1, 2024, pursuant to which, effective as of January 1, 2024, the President and Chief Executive Officer receives gross monthly salary of NIS 59,330 ($18) in consideration for his services as President and Chief Executive Officer of the Subsidiary. In addition, the President and Chief Executive Officer are provided with a phone and a company car pursuant to the terms of 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2026, the gross monthly salary of the Chief Executive Officer is NIS 63,186 ($20).</w:t>
      </w:r>
    </w:p>
    <w:p>
      <w:pPr>
        <w:pStyle w:val="TextBody"/>
        <w:bidi w:val="0"/>
        <w:spacing w:before="0" w:after="0"/>
        <w:ind w:left="72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105"/>
        <w:gridCol w:w="200"/>
        <w:gridCol w:w="2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Balances with related parties:</w:t>
            </w:r>
          </w:p>
        </w:tc>
      </w:tr>
    </w:tbl>
    <w:p>
      <w:pPr>
        <w:pStyle w:val="TextBody"/>
        <w:bidi w:val="0"/>
        <w:spacing w:before="0" w:after="0"/>
        <w:ind w:left="720" w:right="0" w:hanging="0"/>
        <w:jc w:val="both"/>
        <w:rPr>
          <w:caps w:val="false"/>
          <w:smallCaps w:val="false"/>
        </w:rPr>
      </w:pPr>
      <w:r>
        <w:rPr>
          <w:caps w:val="false"/>
          <w:smallCaps w:val="false"/>
        </w:rPr>
        <w:t> </w:t>
      </w:r>
    </w:p>
    <w:tbl>
      <w:tblPr>
        <w:tblW w:w="7164" w:type="dxa"/>
        <w:jc w:val="left"/>
        <w:tblInd w:w="0" w:type="dxa"/>
        <w:tblLayout w:type="fixed"/>
        <w:tblCellMar>
          <w:top w:w="0" w:type="dxa"/>
          <w:left w:w="0" w:type="dxa"/>
          <w:bottom w:w="0" w:type="dxa"/>
          <w:right w:w="0" w:type="dxa"/>
        </w:tblCellMar>
      </w:tblPr>
      <w:tblGrid>
        <w:gridCol w:w="5495"/>
        <w:gridCol w:w="90"/>
        <w:gridCol w:w="183"/>
        <w:gridCol w:w="442"/>
        <w:gridCol w:w="97"/>
        <w:gridCol w:w="97"/>
        <w:gridCol w:w="183"/>
        <w:gridCol w:w="442"/>
        <w:gridCol w:w="135"/>
      </w:tblGrid>
      <w:tr>
        <w:trPr/>
        <w:tc>
          <w:tcPr>
            <w:tcW w:w="54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both"/>
              <w:rPr/>
            </w:pPr>
            <w:r>
              <w:rPr/>
              <w:t>Accounts payable and accrued expenses - Shnida</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380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442" w:type="dxa"/>
            <w:tcBorders/>
            <w:shd w:fill="CCEEFF" w:val="clear"/>
            <w:vAlign w:val="center"/>
          </w:tcPr>
          <w:p>
            <w:pPr>
              <w:pStyle w:val="TableContents"/>
              <w:bidi w:val="0"/>
              <w:spacing w:before="0" w:after="283"/>
              <w:jc w:val="right"/>
              <w:rPr/>
            </w:pPr>
            <w:r>
              <w:rPr/>
              <w:t>175</w:t>
            </w:r>
          </w:p>
        </w:tc>
        <w:tc>
          <w:tcPr>
            <w:tcW w:w="135"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both"/>
              <w:rPr/>
            </w:pPr>
            <w:r>
              <w:rPr/>
              <w:t>Accounts payable and accrued expenses - Miriam Kidron</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272</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right"/>
              <w:rPr/>
            </w:pPr>
            <w:r>
              <w:rPr/>
              <w:t>154</w:t>
            </w:r>
          </w:p>
        </w:tc>
        <w:tc>
          <w:tcPr>
            <w:tcW w:w="135"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both"/>
              <w:rPr/>
            </w:pPr>
            <w:r>
              <w:rPr/>
              <w:t>Total payable to related parties</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2" w:type="dxa"/>
            <w:tcBorders>
              <w:bottom w:val="double" w:sz="10" w:space="0" w:color="000000"/>
            </w:tcBorders>
            <w:shd w:fill="CCEEFF" w:val="clear"/>
            <w:tcMar>
              <w:bottom w:w="28" w:type="dxa"/>
            </w:tcMar>
            <w:vAlign w:val="center"/>
          </w:tcPr>
          <w:p>
            <w:pPr>
              <w:pStyle w:val="TableContents"/>
              <w:bidi w:val="0"/>
              <w:spacing w:before="0" w:after="283"/>
              <w:jc w:val="right"/>
              <w:rPr/>
            </w:pPr>
            <w:r>
              <w:rPr/>
              <w:t>652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42" w:type="dxa"/>
            <w:tcBorders>
              <w:bottom w:val="double" w:sz="10" w:space="0" w:color="000000"/>
            </w:tcBorders>
            <w:shd w:fill="CCEEFF" w:val="clear"/>
            <w:tcMar>
              <w:bottom w:w="28" w:type="dxa"/>
            </w:tcMar>
            <w:vAlign w:val="center"/>
          </w:tcPr>
          <w:p>
            <w:pPr>
              <w:pStyle w:val="TableContents"/>
              <w:bidi w:val="0"/>
              <w:spacing w:before="0" w:after="283"/>
              <w:jc w:val="right"/>
              <w:rPr/>
            </w:pPr>
            <w:r>
              <w:rPr/>
              <w:t>329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F-46</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20 - RELATED PARTY TRANSACTIONS</w:t>
      </w:r>
      <w:r>
        <w:rPr>
          <w:rFonts w:ascii="Times New Roman;Times;Serif" w:hAnsi="Times New Roman;Times;Serif"/>
          <w:b w:val="false"/>
          <w:i w:val="false"/>
          <w:caps w:val="false"/>
          <w:smallCaps w:val="false"/>
          <w:sz w:val="20"/>
        </w:rPr>
        <w:t xml:space="preserve"> (continued):</w:t>
      </w:r>
    </w:p>
    <w:p>
      <w:pPr>
        <w:pStyle w:val="TextBody"/>
        <w:bidi w:val="0"/>
        <w:spacing w:before="0" w:after="0"/>
        <w:ind w:left="72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05"/>
        <w:gridCol w:w="185"/>
        <w:gridCol w:w="2315"/>
      </w:tblGrid>
      <w:tr>
        <w:trPr/>
        <w:tc>
          <w:tcPr>
            <w:tcW w:w="1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to related parties:</w:t>
            </w:r>
          </w:p>
        </w:tc>
      </w:tr>
    </w:tbl>
    <w:p>
      <w:pPr>
        <w:pStyle w:val="TextBody"/>
        <w:bidi w:val="0"/>
        <w:spacing w:before="0" w:after="0"/>
        <w:ind w:left="72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5240"/>
        <w:gridCol w:w="90"/>
        <w:gridCol w:w="170"/>
        <w:gridCol w:w="590"/>
        <w:gridCol w:w="90"/>
        <w:gridCol w:w="90"/>
        <w:gridCol w:w="170"/>
        <w:gridCol w:w="590"/>
        <w:gridCol w:w="135"/>
      </w:tblGrid>
      <w:tr>
        <w:trPr/>
        <w:tc>
          <w:tcPr>
            <w:tcW w:w="52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17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December 31,</w:t>
            </w:r>
          </w:p>
        </w:tc>
        <w:tc>
          <w:tcPr>
            <w:tcW w:w="135" w:type="dxa"/>
            <w:tcBorders/>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KNRY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563</w:t>
            </w:r>
          </w:p>
        </w:tc>
        <w:tc>
          <w:tcPr>
            <w:tcW w:w="13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Miriam Kidron (Chief Scientific Officer)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Shnida</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768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514</w:t>
            </w:r>
          </w:p>
        </w:tc>
        <w:tc>
          <w:tcPr>
            <w:tcW w:w="135" w:type="dxa"/>
            <w:tcBorders/>
            <w:shd w:fill="CCEEFF" w:val="clear"/>
            <w:vAlign w:val="center"/>
          </w:tcPr>
          <w:p>
            <w:pPr>
              <w:pStyle w:val="TableContents"/>
              <w:bidi w:val="0"/>
              <w:spacing w:before="0" w:after="283"/>
              <w:jc w:val="left"/>
              <w:rPr/>
            </w:pPr>
            <w:r>
              <w:rPr/>
              <w:t> </w:t>
            </w:r>
          </w:p>
        </w:tc>
      </w:tr>
      <w:tr>
        <w:trPr/>
        <w:tc>
          <w:tcPr>
            <w:tcW w:w="5240" w:type="dxa"/>
            <w:tcBorders/>
            <w:vAlign w:val="center"/>
          </w:tcPr>
          <w:p>
            <w:pPr>
              <w:pStyle w:val="TableContents"/>
              <w:bidi w:val="0"/>
              <w:spacing w:before="0" w:after="283"/>
              <w:jc w:val="both"/>
              <w:rPr/>
            </w:pPr>
            <w:r>
              <w:rPr/>
              <w:t>Nadav Kidron (President and Chief Executive Officer)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297</w:t>
            </w:r>
          </w:p>
        </w:tc>
        <w:tc>
          <w:tcPr>
            <w:tcW w:w="135" w:type="dxa"/>
            <w:tcBorders/>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283"/>
              <w:jc w:val="both"/>
              <w:rPr/>
            </w:pPr>
            <w:r>
              <w:rPr/>
              <w:t>Total expenses to related parties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1,712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1,374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SUBSEQUENT EVENTS:</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68"/>
        <w:gridCol w:w="230"/>
        <w:gridCol w:w="479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a.</w:t>
            </w:r>
          </w:p>
        </w:tc>
        <w:tc>
          <w:tcPr>
            <w:tcW w:w="4790" w:type="dxa"/>
            <w:tcBorders/>
            <w:vAlign w:val="center"/>
          </w:tcPr>
          <w:p>
            <w:pPr>
              <w:pStyle w:val="TableContents"/>
              <w:bidi w:val="0"/>
              <w:spacing w:before="0" w:after="283"/>
              <w:jc w:val="both"/>
              <w:rPr>
                <w:b/>
              </w:rPr>
            </w:pPr>
            <w:r>
              <w:rPr>
                <w:b/>
              </w:rPr>
              <w:t>2023 Scilex Transaction and 2024 Refinancing</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Note 4, regarding the Tranche B Note, on January 7, 2026, the Company received a repayment from Scilex of $3,396 ($3,125 of the principal amount and $271 interest). On February 27, 2026, the Company received a payment of $395 from Scilex representing royalties owed for the three months ended December 31, 2025.</w:t>
      </w:r>
    </w:p>
    <w:p>
      <w:pPr>
        <w:pStyle w:val="TextBody"/>
        <w:bidi w:val="0"/>
        <w:spacing w:before="0" w:after="0"/>
        <w:ind w:left="709" w:right="0" w:hanging="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68"/>
        <w:gridCol w:w="245"/>
        <w:gridCol w:w="102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b.</w:t>
            </w:r>
          </w:p>
        </w:tc>
        <w:tc>
          <w:tcPr>
            <w:tcW w:w="1025" w:type="dxa"/>
            <w:tcBorders/>
            <w:vAlign w:val="center"/>
          </w:tcPr>
          <w:p>
            <w:pPr>
              <w:pStyle w:val="TableContents"/>
              <w:bidi w:val="0"/>
              <w:spacing w:before="0" w:after="283"/>
              <w:jc w:val="both"/>
              <w:rPr>
                <w:b/>
              </w:rPr>
            </w:pPr>
            <w:r>
              <w:rPr>
                <w:b/>
              </w:rPr>
              <w:t>Dividend</w:t>
            </w:r>
          </w:p>
        </w:tc>
      </w:tr>
    </w:tbl>
    <w:p>
      <w:pPr>
        <w:pStyle w:val="TextBody"/>
        <w:bidi w:val="0"/>
        <w:spacing w:before="0" w:after="0"/>
        <w:ind w:left="426"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Note 14, on January 22, 2026, the Company distributed a dividend in the amount of $10,061 to its shareholders.</w:t>
      </w:r>
    </w:p>
    <w:p>
      <w:pPr>
        <w:pStyle w:val="TextBody"/>
        <w:bidi w:val="0"/>
        <w:spacing w:before="0" w:after="0"/>
        <w:ind w:left="0" w:right="0" w:hanging="0"/>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68"/>
        <w:gridCol w:w="215"/>
        <w:gridCol w:w="134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c.</w:t>
            </w:r>
          </w:p>
        </w:tc>
        <w:tc>
          <w:tcPr>
            <w:tcW w:w="1340" w:type="dxa"/>
            <w:tcBorders/>
            <w:vAlign w:val="center"/>
          </w:tcPr>
          <w:p>
            <w:pPr>
              <w:pStyle w:val="TableContents"/>
              <w:bidi w:val="0"/>
              <w:spacing w:before="0" w:after="283"/>
              <w:jc w:val="both"/>
              <w:rPr>
                <w:b/>
              </w:rPr>
            </w:pPr>
            <w:r>
              <w:rPr>
                <w:b/>
              </w:rPr>
              <w:t>PSUs vested</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Note 15, during January 2026, the applicable market condition related to 166,000 PSUs previously granted to the Company’s executive officers was satisfied. As a result, such PSUs vested in full.</w:t>
      </w:r>
    </w:p>
    <w:p>
      <w:pPr>
        <w:pStyle w:val="TextBody"/>
        <w:bidi w:val="0"/>
        <w:spacing w:before="0" w:after="0"/>
        <w:ind w:left="720" w:right="0" w:hanging="0"/>
        <w:jc w:val="both"/>
        <w:rPr>
          <w:caps w:val="false"/>
          <w:smallCaps w:val="false"/>
        </w:rPr>
      </w:pPr>
      <w:r>
        <w:rPr>
          <w:caps w:val="false"/>
          <w:smallCaps w:val="false"/>
        </w:rPr>
        <w:t> </w:t>
      </w:r>
    </w:p>
    <w:tbl>
      <w:tblPr>
        <w:tblW w:w="963" w:type="dxa"/>
        <w:jc w:val="left"/>
        <w:tblInd w:w="0" w:type="dxa"/>
        <w:tblLayout w:type="fixed"/>
        <w:tblCellMar>
          <w:top w:w="0" w:type="dxa"/>
          <w:left w:w="0" w:type="dxa"/>
          <w:bottom w:w="0" w:type="dxa"/>
          <w:right w:w="0" w:type="dxa"/>
        </w:tblCellMar>
      </w:tblPr>
      <w:tblGrid>
        <w:gridCol w:w="68"/>
        <w:gridCol w:w="245"/>
        <w:gridCol w:w="650"/>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d.</w:t>
            </w:r>
          </w:p>
        </w:tc>
        <w:tc>
          <w:tcPr>
            <w:tcW w:w="650" w:type="dxa"/>
            <w:tcBorders/>
            <w:vAlign w:val="center"/>
          </w:tcPr>
          <w:p>
            <w:pPr>
              <w:pStyle w:val="TableContents"/>
              <w:bidi w:val="0"/>
              <w:spacing w:before="0" w:after="283"/>
              <w:jc w:val="both"/>
              <w:rPr>
                <w:b/>
              </w:rPr>
            </w:pPr>
            <w:r>
              <w:rPr>
                <w:b/>
              </w:rPr>
              <w:t>Nano</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and through March 26, 2026, the Company purchased an additional 6,401,939 ordinary shares of Nano for an aggregate purchase price of $12,308 and the Company sold 1,269,987 ordinary shares of Nano for aggregate proceeds of $2,606. Following these transactions, the Company holds an aggregate of 10,568,743 ordinary shares of Nano, representing approximately 5.02% of its outstanding share capital as of March 26,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F-47</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 SUBSEQUENT EVENTS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68"/>
        <w:gridCol w:w="215"/>
        <w:gridCol w:w="830"/>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e.</w:t>
            </w:r>
          </w:p>
        </w:tc>
        <w:tc>
          <w:tcPr>
            <w:tcW w:w="830" w:type="dxa"/>
            <w:tcBorders/>
            <w:vAlign w:val="center"/>
          </w:tcPr>
          <w:p>
            <w:pPr>
              <w:pStyle w:val="TableContents"/>
              <w:bidi w:val="0"/>
              <w:spacing w:before="0" w:after="283"/>
              <w:jc w:val="both"/>
              <w:rPr>
                <w:b/>
              </w:rPr>
            </w:pPr>
            <w:r>
              <w:rPr>
                <w:b/>
              </w:rPr>
              <w:t>Pelthos</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and through March 26, 2026, the Company sold 6,577 shares of Pelthos common stock for aggregate proceeds of $173. Following these sales, the Company hold 143,423 shares of Pelthos common stock.</w:t>
      </w:r>
    </w:p>
    <w:p>
      <w:pPr>
        <w:pStyle w:val="TextBody"/>
        <w:bidi w:val="0"/>
        <w:spacing w:before="0" w:after="0"/>
        <w:ind w:left="0" w:right="0" w:hanging="0"/>
        <w:jc w:val="left"/>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68"/>
        <w:gridCol w:w="185"/>
        <w:gridCol w:w="104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f.</w:t>
            </w:r>
          </w:p>
        </w:tc>
        <w:tc>
          <w:tcPr>
            <w:tcW w:w="1040" w:type="dxa"/>
            <w:tcBorders/>
            <w:vAlign w:val="center"/>
          </w:tcPr>
          <w:p>
            <w:pPr>
              <w:pStyle w:val="TableContents"/>
              <w:bidi w:val="0"/>
              <w:spacing w:before="0" w:after="283"/>
              <w:jc w:val="both"/>
              <w:rPr>
                <w:b/>
              </w:rPr>
            </w:pPr>
            <w:r>
              <w:rPr>
                <w:b/>
              </w:rPr>
              <w:t>Lifeward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note 9, on February 12, 2026, we agreed to provide Lifeward with an additional secured promissory note with an initial principal amount of $525, which may be increased by up to an additional $975, bearing interest at 24% per annum and secured by a lien on Lifeward’s cash. As of March 26, 2026, we had funded $1,025 under this additional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and accrued interest under the secured promissory notes are expected to be rolled into the Initial Notes issued under the Lifeward Notes Purchase Agreement described below.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Lifeward Share Purchase Agreement</w:t>
      </w:r>
    </w:p>
    <w:p>
      <w:pPr>
        <w:pStyle w:val="TextBody"/>
        <w:bidi w:val="0"/>
        <w:spacing w:before="0" w:after="0"/>
        <w:ind w:left="284"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entered into a Share Purchase Agreement (“Lifeward Share Purchase Agreement”) with Lifeward and OraTech pursuant to which Lifeward agreed to acquire all of the outstanding equity interests of OraTech from the Company (“Share Purchase Transaction”). Prior to the closing, the Company transferred to OraTech all intellectual property and related assets relating to our POD™ (Protein Oral Delivery) technology platform, together with cash to fund the next planned clinical trial and related development activities. As a result, commencing on the closing date of March 25, 2026, research and development expenses will be borne by OraTech.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Oratech, Lifeward issued to us: (i) Lifeward Ordinary Shares and pre-funded warrants to purchase Lifeward Ordinary Shares representing up to 49.99% of Lifeward’s fully diluted equity capitalization at closing, subject to adjustments, representing less than 45.0% of the outstanding Lifeward Ordinary Shares at closing; (ii) warrants to purchase Lifeward Ordinary Shares equal to the quotient of Lifeward’s net cash at closing divided by an exercise price of $5.40 per share, reflecting Lifeward’s 12-for-1 reverse share split effected on February 24, 2026 (which adjusted the original exercise price of $0.45 per share), subject to adjustments (“Share Purchase Warrants”), and (iii) revenue-sharing payments equal to 4% of the net revenue from Lifeward’s ReWalk Personal Exoskeleton products and related extended warranties for up to 10 years following closing, subject to certain caps and early termination upon the occurrence of specified events.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Initial Notes was subject to customary closing conditions, including the approval of Lifeward’s shareholders for the issuance of more than 19.99% of Lifeward Ordinary Shares in accordance with Nasdaq listing standards. Such shareholder approval was obtained on March 12,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Lifeward agreed to file a resale registration statement with the SEC covering the Lifeward Ordinary Shares issued in the transaction and those issuable upon exercise of the pre-funded warrants and warrants described above as soon as practicable following closing, but no later than 75 days after closing, and to use commercially reasonable efforts to have such registration statement declared effective within 75 days after closing (or 105 days in the event of a full SEC review).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F-48</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 SUBSEQUENT EVENTS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68"/>
        <w:gridCol w:w="185"/>
        <w:gridCol w:w="224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f.</w:t>
            </w:r>
          </w:p>
        </w:tc>
        <w:tc>
          <w:tcPr>
            <w:tcW w:w="2240" w:type="dxa"/>
            <w:tcBorders/>
            <w:vAlign w:val="center"/>
          </w:tcPr>
          <w:p>
            <w:pPr>
              <w:pStyle w:val="TableContents"/>
              <w:bidi w:val="0"/>
              <w:spacing w:before="0" w:after="283"/>
              <w:jc w:val="both"/>
              <w:rPr/>
            </w:pPr>
            <w:r>
              <w:rPr>
                <w:b/>
              </w:rPr>
              <w:t xml:space="preserve">Lifeward </w:t>
            </w:r>
            <w:r>
              <w:rPr/>
              <w:t>(continued):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Pre-Funded Warrants and Share Purchase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Purchase Warrants will be immediately exercisable upon issuance at an initial exercise price of $5.40 per share, reflecting Lifeward’s 12-for-1 reverse share split effected on February 24, 2026 (which adjusted the original exercise price of $0.45 per share), and will expire five years from the date of issuance. The exercise price is subject to customary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have an exercise price of $0.0012 per share (reflecting the reverse-split adjusted price of the original $0.0001 per share), subject to customary adjustments, and will remain exercisable until exercised in full.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not exercise any portion of the Pre-Funded Warrants or Share Purchase Warrants to the extent that, after giving effect to such exercise, the Company and our affiliates would beneficially own more than 45.0% of the outstanding Lifeward Ordinary Shares. This limitation will automatically increase to 49.99% once (i) the Investors no longer hold any Notes and (ii) the Investors have sold all Note Shares issued or issuable upon conversion of the Notes and related warrants. The Company may increase the beneficial ownership limitation upon at least 61 days’ prior notice to Lifeward; provided that, for so long as certain Lifeward warrants outstanding as of the issuance date remain outstanding, any such increase will require Lifeward’s consent, which may not be unreasonably withheld, conditioned or delayed.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Lifeward Share Purchase Agreement, the Company entered into a lock-up agreement for a period of 120 days after the Closing, without the prior written consent of Lifeward.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F-49</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 SUBSEQUENT EVENTS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68"/>
        <w:gridCol w:w="185"/>
        <w:gridCol w:w="224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f.</w:t>
            </w:r>
          </w:p>
        </w:tc>
        <w:tc>
          <w:tcPr>
            <w:tcW w:w="2240" w:type="dxa"/>
            <w:tcBorders/>
            <w:vAlign w:val="center"/>
          </w:tcPr>
          <w:p>
            <w:pPr>
              <w:pStyle w:val="TableContents"/>
              <w:bidi w:val="0"/>
              <w:spacing w:before="0" w:after="283"/>
              <w:jc w:val="both"/>
              <w:rPr/>
            </w:pPr>
            <w:r>
              <w:rPr>
                <w:b/>
              </w:rPr>
              <w:t xml:space="preserve">Lifeward </w:t>
            </w:r>
            <w:r>
              <w:rPr/>
              <w:t>(continued):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Management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Lifeward Share Purchase Agreement, the Company agreed to entered into a clinical trial management (the “Clinical Trial Management Agreement”) with Oratech, pursuant to which the Company agreed to manage the clinical study of Oratech’s investigational oral insulin capsule product (the “Study”), including providing clinical trial management and administrative services through study completion (the “Services”). In consideration for the Services, OraTech will reimburse to the Company for all reasonable out-of-pocket expenses actually incurred by the Company in providing the Services and payments made on behalf of OraTech to third parties and vendors, such as clinical sites, if applicable, subject to certain limitations and maximum payments as set forth in the Clinical Trial Management Agreement. The Clinical Trial Management Agreement will terminate upon completion of the Study unless earlier terminated in accordance with the terms set forth therein.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Notes Securities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the Company entered into a Securities Purchase Agreement (the “Lifeward Notes Purchase Agreement”) with Lifeward and other investors pursuant to which the Company agreed to purchase, in a private placement, up to $18,000 of senior secured convertible notes issued by Lifeward, together with accompanying warrants to purchase Lifeward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which occurred on March 25, 2026, the Company agreed to purchase $9,000 aggregate principal amount of such notes (the “Initial Notes”). The Notes bear interest at 8% per annum, payable semi-annually, and mature three years from the date of issuance. The Notes are convertible into Lifeward Ordinary Shares at an initial conversion price of $5.40 per share, reflecting Lifeward’s 12-for-1 reverse share split effected on February 24, 2026 (which adjusted the original conversion price of $0.45 per share), subject to customary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agreed to purchase an additional $9,000 aggregate principal amount of notes (the “Additional Notes”) and together with the Initial Notes (the “Notes”) together with accompanying warrants, on substantially the same terms as the Initial Notes.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Additional Notes is subject to customary closing conditions and either: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Lifeward achieving at least a 150% increase in ReWalk unit sales compared to the trailing twelve-month period immediately preceding the Additional Closing;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F-50</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CONSOLIDATED FINANCIAL STATEMENTS</w:t>
        <w:br/>
        <w:t>In thousands (except share and per share data)</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21 - SUBSEQUENT EVENTS </w:t>
      </w:r>
      <w:r>
        <w:rPr>
          <w:rFonts w:ascii="Times New Roman;Times;Serif" w:hAnsi="Times New Roman;Times;Serif"/>
          <w:b w:val="false"/>
          <w:i w:val="false"/>
          <w:caps w:val="false"/>
          <w:smallCaps w:val="false"/>
          <w:sz w:val="20"/>
        </w:rPr>
        <w:t>(continued):</w:t>
      </w:r>
    </w:p>
    <w:p>
      <w:pPr>
        <w:pStyle w:val="TextBody"/>
        <w:bidi w:val="0"/>
        <w:spacing w:before="0" w:after="0"/>
        <w:ind w:left="360" w:right="0" w:hanging="0"/>
        <w:jc w:val="center"/>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68"/>
        <w:gridCol w:w="185"/>
        <w:gridCol w:w="224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b/>
              </w:rPr>
            </w:pPr>
            <w:r>
              <w:rPr>
                <w:b/>
              </w:rPr>
              <w:t>f.</w:t>
            </w:r>
          </w:p>
        </w:tc>
        <w:tc>
          <w:tcPr>
            <w:tcW w:w="2240" w:type="dxa"/>
            <w:tcBorders/>
            <w:vAlign w:val="center"/>
          </w:tcPr>
          <w:p>
            <w:pPr>
              <w:pStyle w:val="TableContents"/>
              <w:bidi w:val="0"/>
              <w:spacing w:before="0" w:after="283"/>
              <w:jc w:val="both"/>
              <w:rPr/>
            </w:pPr>
            <w:r>
              <w:rPr>
                <w:b/>
              </w:rPr>
              <w:t xml:space="preserve">Lifeward </w:t>
            </w:r>
            <w:r>
              <w:rPr/>
              <w:t>(continued):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closing price of Lifeward Ordinary Shares equaling or exceeding $13.80 per share, reflecting Lifeward’s 12-for-1 reverse share split (which adjusted the original $1.15 threshold), for 10 consecutive trading days immediately prior to the Additional Closing.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Notes was subject to customary closing conditions, including the approval of Lifeward’s shareholders for the issuance of more than 19.99% of Lifeward Ordinary Shares in accordance with Nasdaq listing standards. Such shareholder approval was obtained on March 12,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Lifeward agreed to file a resale registration statement with the SEC covering the Lifeward Ordinary Shares issuable upon conversion of the Notes and exercise of the related warrants within 30 days after the Initial Closing, and to use commercially reasonable efforts to have the registration statement declared effective within 45 days thereafter (or 75 days in the event of a full SEC review).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is currently evaluating the accounting treatment of these transactions and the impact on its consolidated financial statements.</w:t>
      </w:r>
    </w:p>
    <w:p>
      <w:pPr>
        <w:pStyle w:val="TextBody"/>
        <w:bidi w:val="0"/>
        <w:spacing w:before="0" w:after="0"/>
        <w:ind w:left="720" w:right="0" w:hanging="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68"/>
        <w:gridCol w:w="230"/>
        <w:gridCol w:w="3080"/>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g.</w:t>
            </w:r>
          </w:p>
        </w:tc>
        <w:tc>
          <w:tcPr>
            <w:tcW w:w="3080" w:type="dxa"/>
            <w:tcBorders/>
            <w:vAlign w:val="center"/>
          </w:tcPr>
          <w:p>
            <w:pPr>
              <w:pStyle w:val="TableContents"/>
              <w:bidi w:val="0"/>
              <w:spacing w:before="0" w:after="283"/>
              <w:jc w:val="both"/>
              <w:rPr>
                <w:b/>
              </w:rPr>
            </w:pPr>
            <w:r>
              <w:rPr>
                <w:b/>
              </w:rPr>
              <w:t>Ruby Sapphire II Investment</w:t>
            </w:r>
          </w:p>
        </w:tc>
      </w:tr>
    </w:tbl>
    <w:p>
      <w:pPr>
        <w:pStyle w:val="TextBody"/>
        <w:bidi w:val="0"/>
        <w:spacing w:before="0" w:after="0"/>
        <w:ind w:left="360" w:right="0" w:hanging="283"/>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Note 13, on February 5, 2026, the Company had funded NIS 1,556 ($499) under this commitment. The Company is currently evaluating the accounting treatment of these transactions and the impact on its consolidated financial statements.</w:t>
      </w:r>
    </w:p>
    <w:p>
      <w:pPr>
        <w:pStyle w:val="TextBody"/>
        <w:bidi w:val="0"/>
        <w:spacing w:before="0" w:after="0"/>
        <w:ind w:left="709" w:right="0" w:hanging="283"/>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68"/>
        <w:gridCol w:w="245"/>
        <w:gridCol w:w="231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h.</w:t>
            </w:r>
          </w:p>
        </w:tc>
        <w:tc>
          <w:tcPr>
            <w:tcW w:w="2315" w:type="dxa"/>
            <w:tcBorders/>
            <w:vAlign w:val="center"/>
          </w:tcPr>
          <w:p>
            <w:pPr>
              <w:pStyle w:val="TableContents"/>
              <w:bidi w:val="0"/>
              <w:spacing w:before="0" w:after="283"/>
              <w:jc w:val="both"/>
              <w:rPr>
                <w:b/>
              </w:rPr>
            </w:pPr>
            <w:r>
              <w:rPr>
                <w:b/>
              </w:rPr>
              <w:t>Corner Ally Ventures</w:t>
            </w:r>
          </w:p>
        </w:tc>
      </w:tr>
    </w:tbl>
    <w:p>
      <w:pPr>
        <w:pStyle w:val="TextBody"/>
        <w:bidi w:val="0"/>
        <w:spacing w:before="0" w:after="0"/>
        <w:ind w:left="709" w:right="0" w:hanging="283"/>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2026, the Company’s board approved the formation of Corner Ally Ventures (the “Fund”), a venture capital fund focused on investments in Israeli technology companies. The Company co-founded the Fund together with Corner Capital Management, LLC and, together with Ben Shapiro, is expected to serve as a general partner of the Fund and participate in its management and investment decision-making and may be entitled to a share of the Fund’s carried interest. The Company also expects to serve as an anchor limited partner and has committed to invest up to $40,000 in the Fund, which is expected to be funded over an anticipated four-year capital call period. The Fund’s initial closing, subject to a minimum capital commitment of $75,000, is expected to occur in the third quarter of 2026. The Company is currently evaluating the accounting treatment of this arrangement and the impact, if any, on its consolidated financial statements.</w:t>
      </w:r>
    </w:p>
    <w:p>
      <w:pPr>
        <w:pStyle w:val="TextBody"/>
        <w:bidi w:val="0"/>
        <w:spacing w:before="0" w:after="0"/>
        <w:ind w:left="709" w:right="0" w:hanging="283"/>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68"/>
        <w:gridCol w:w="170"/>
        <w:gridCol w:w="102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i.</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RSU Grant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granted an aggregate of 478,341 RSUs representing a right to receive shares of the Company’s common stock to executive officers of the Company. The RSUs will vest in eight equal quarterly installments starting April 1, 2026.</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12" w:space="1" w:color="000000"/>
        </w:rPr>
      </w:pPr>
      <w:r>
        <w:rPr>
          <w:rFonts w:ascii="Times New Roman;Times;Serif" w:hAnsi="Times New Roman;Times;Serif"/>
          <w:sz w:val="20"/>
          <w:bdr w:val="single" w:sz="12" w:space="1" w:color="000000"/>
        </w:rPr>
        <w:t>F-51</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tbl>
      <w:tblPr>
        <w:tblW w:w="1143" w:type="dxa"/>
        <w:jc w:val="left"/>
        <w:tblInd w:w="0" w:type="dxa"/>
        <w:tblLayout w:type="fixed"/>
        <w:tblCellMar>
          <w:top w:w="0" w:type="dxa"/>
          <w:left w:w="0" w:type="dxa"/>
          <w:bottom w:w="0" w:type="dxa"/>
          <w:right w:w="0" w:type="dxa"/>
        </w:tblCellMar>
      </w:tblPr>
      <w:tblGrid>
        <w:gridCol w:w="68"/>
        <w:gridCol w:w="275"/>
        <w:gridCol w:w="80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8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7"/>
        <w:gridCol w:w="90"/>
        <w:gridCol w:w="9638"/>
      </w:tblGrid>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Composite Copy of Certificate of Incorporation, as amended as of January 22, 2013, corrected February 8, 2013, as amended as of July 25, 2014, corrected September 5, 2017 and as further amended as of August 3, 2020 (incorporated by reference from our annual report on Form 10-K filed November 24, 2020)</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Fifth Amended and Restated By-laws, adopted effective March 27, 2025 (incorporated by reference from our Annual Report on Form 10-K filed March 27, 2025).</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Fifth Amended and Restated By-laws, adopted effective March 27, 2025 (marked copy) (incorporated by reference from our Annual Report on Form 10-K filed March 27, 2025).</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Specimen Common Stock Certificate (incorporated by reference from our registration statement on Form S-1 filed February 1, 2013).</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Description of Securities (incorporated by reference to Exhibit 4.2 to the Company's Annual Report on Form 10-K filed on March 27, 2025).</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Rights Agreement, dated as of November 17, 2025, between Oramed Pharmaceuticals Inc. and Continental Stock Transfer &amp; Trust Company, as Rights Agent. (incorporated by reference to Exhibit 4.1 to the Company’s Current Report on Form 8-K filed on November 17, 2025).</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Pre-Funded Warrant. (incorporated by reference to Exhibit 4.1 to the Company’s Current Report on Form 8-K filed on January 14, 2026).</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u w:val="single"/>
                </w:rPr>
                <w:t>Form of Share Purchase Warrant (incorporated by reference to Exhibit 4.2 to the Company’s Current Report on Form 8-K filed on January 14, 2026).</w:t>
              </w:r>
            </w:hyperlink>
          </w:p>
        </w:tc>
      </w:tr>
      <w:tr>
        <w:trPr/>
        <w:tc>
          <w:tcPr>
            <w:tcW w:w="477"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Senior Secured Convertible Note (incorporated by reference to Exhibit 4.3 to the Company’s Current Report on Form 8-K filed on January 14, 2026).</w:t>
              </w:r>
            </w:hyperlink>
          </w:p>
        </w:tc>
      </w:tr>
      <w:tr>
        <w:trPr/>
        <w:tc>
          <w:tcPr>
            <w:tcW w:w="477"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Form of Purchase Agreement Warrant (incorporated by reference to Exhibit 4.4 to the Company’s Current Report on Form 8-K filed on January 14, 2026).</w:t>
              </w:r>
            </w:hyperlink>
          </w:p>
        </w:tc>
      </w:tr>
      <w:tr>
        <w:trPr/>
        <w:tc>
          <w:tcPr>
            <w:tcW w:w="477"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Form of February 2026 Warrant (incorporated by reference to Exhibit 10.2 to the Company’s Current Report on Form 8-K filed on February 20, 2026).</w:t>
              </w:r>
            </w:hyperlink>
          </w:p>
        </w:tc>
      </w:tr>
      <w:tr>
        <w:trPr/>
        <w:tc>
          <w:tcPr>
            <w:tcW w:w="477"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Consulting Agreement by and between Oramed Pharmaceuticals Inc. and Shnida Ltd., entered into as of November 1, 2022, for the services of Nadav Kidron (incorporated by reference from our annual report on Form 10-K filed March 6, 2023).</w:t>
              </w:r>
            </w:hyperlink>
            <w:r>
              <w:rPr>
                <w:rFonts w:ascii="Times New Roman;Times;Serif" w:hAnsi="Times New Roman;Times;Serif"/>
                <w:b w:val="false"/>
                <w:i w:val="false"/>
                <w:caps w:val="false"/>
                <w:smallCaps w:val="false"/>
                <w:sz w:val="20"/>
              </w:rPr>
              <w:t> </w:t>
            </w:r>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w:anchor="ea028261801ex10-2.htm">
              <w:r>
                <w:rPr>
                  <w:rStyle w:val="InternetLink"/>
                  <w:rFonts w:ascii="Times New Roman;Times;Serif" w:hAnsi="Times New Roman;Times;Serif"/>
                  <w:b w:val="false"/>
                  <w:i w:val="false"/>
                  <w:caps w:val="false"/>
                  <w:smallCaps w:val="false"/>
                  <w:sz w:val="20"/>
                </w:rPr>
                <w:t>Amendment, dated December 31, 2025, to Consulting Agreement by and between Oramed Pharmaceuticals Inc. and Shnida Ltd., entered into as of November 1, 2022, for the services of Nadav Kidron.</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Employment Agreement by and between Oramed Ltd. and Nadav Kidron, entered into as of November 1, 2022 (incorporated by reference from our annual report on Form 10-K filed March 6, 2023).</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Amendment, dated April 27, 2023, to Employment Agreement by and between Oramed Ltd. and Nadav Kidron, entered into as of November 1, 2022 (incorporated by reference from our annual report on Form 10-K filed March 6, 2024).</w:t>
              </w:r>
            </w:hyperlink>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Amendment, dated January 8, 2024, to Employment Agreement by and between Oramed Ltd. and Nadav Kidron, entered into as of November 1, 2022 (incorporated by reference from our annual report on Form 10-K filed March 6, 2024).</w:t>
              </w:r>
            </w:hyperlink>
            <w:r>
              <w:rPr>
                <w:rFonts w:ascii="Times New Roman;Times;Serif" w:hAnsi="Times New Roman;Times;Serif"/>
                <w:b w:val="false"/>
                <w:i w:val="false"/>
                <w:caps w:val="false"/>
                <w:smallCaps w:val="false"/>
                <w:sz w:val="20"/>
              </w:rPr>
              <w:t> </w:t>
            </w:r>
          </w:p>
        </w:tc>
      </w:tr>
      <w:tr>
        <w:trPr/>
        <w:tc>
          <w:tcPr>
            <w:tcW w:w="477"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6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38"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Amendment, dated November 7, 2024, to Employment Agreement by and between Oramed Ltd. and Nadav Kidron, entered into as of November 1, 2022 (incorporated by reference from our Annual Report on Form 10-K filed March 27, 2025).</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6"/>
        <w:gridCol w:w="90"/>
        <w:gridCol w:w="9549"/>
      </w:tblGrid>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Consulting Agreement by and between Oramed Pharmaceuticals Inc. and KNRY, Ltd., entered into as of April 1, 2025, for the services of Miriam Kidron (incorporated by reference to Exhibit 10.2 to the Company’s Quarterly Report on Form 10-Q filed on May 15, 2025).</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w:anchor="ea028261801ex10-8.htm">
              <w:r>
                <w:rPr>
                  <w:rStyle w:val="InternetLink"/>
                  <w:rFonts w:ascii="Times New Roman;Times;Serif" w:hAnsi="Times New Roman;Times;Serif"/>
                  <w:b w:val="false"/>
                  <w:i w:val="false"/>
                  <w:caps w:val="false"/>
                  <w:smallCaps w:val="false"/>
                  <w:sz w:val="20"/>
                </w:rPr>
                <w:t>Amendment, dated April 1, 2025, to Consulting Agreements by and between Oramed Ltd. and KNRY, Ltd., entered into as of April 1, 2025, for the services of Miriam Kidron.</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Employment Agreement by and between Oramed Ltd. and Miriam Kidron, entered into as of April 1, 2025 (incorporated by reference to Exhibit 10.3 to the Company’s Quarterly Report on Form 10-Q filed on May 15, 2025).</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w:anchor="ea028261801ex10-10.htm">
              <w:r>
                <w:rPr>
                  <w:rStyle w:val="InternetLink"/>
                  <w:rFonts w:ascii="Times New Roman;Times;Serif" w:hAnsi="Times New Roman;Times;Serif"/>
                  <w:b w:val="false"/>
                  <w:i w:val="false"/>
                  <w:caps w:val="false"/>
                  <w:smallCaps w:val="false"/>
                  <w:sz w:val="20"/>
                </w:rPr>
                <w:t>Amendment, dated December 31, 2025, to Employment Agreement by and between Oramed Ltd. and Miriam Kidron, entered into as of January 1, 2026.</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Oramed Pharmaceuticals Inc. 2019 Stock Incentive Plan (incorporated by reference from our definitive proxy statement on Schedule 14A filed August 6, 2019).</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Oramed Pharmaceuticals Inc. Amended and Restated 2019 Stock Incentive Plan (incorporated by reference from our definitive proxy statement on Schedule 14A filed June 30, 2020).</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Amendment to Oramed Pharmaceuticals Inc. Amended and Restated 2019 Stock Incentive Plan (incorporated by reference from our definitive proxy statement on Schedule 14A filed June 2, 2022).</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Notice of Stock Option Award and Stock Option Award Agreement (incorporated by reference from our annual report on Form 10-K filed November 27, 2019).</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Restricted Stock Unit Notice and Restricted Stock Unit Agreement (incorporated by reference from our annual report on Form 10-K filed March 6, 2023).</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Joint Venture Agreement, dated January 22, 2024, among Oramed Pharmaceuticals Inc., Oramed Ltd., Hefei Tianhui Biotech Co., Ltd. and Technowl Limited (incorporated by reference from our current report on Form 8-K filed January 23, 2024).</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At the Market Offering Agreement, dated March 18, 2024, by and among the Company, Rodman &amp; Renshaw LLC and StockBlock Securities LLC. (incorporated by reference from our current report on Form 8-K filed March 18, 2024).</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Securities Purchase Agreement, dated September 21, 2023 by and between Scilex Holding Company and Oramed Pharmaceuticals Inc. (incorporated by reference to Exhibit 10.1 to our current report on Form 8-K filed September 26, 2023).</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Senior Secured Promissory Note, dated September 21, 2023 issued to Oramed Pharmaceuticals Inc. by Scilex Holding Company (incorporated by reference to Exhibit 10.2 to our current report on Form 8-K filed September 26, 2023).</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Registration Rights Agreement, dated September 21, 2023, by and between Oramed Pharmaceuticals Inc. and Scilex Holding Company (incorporated by reference from our current report on Form 8-K filed September 26, 2023).</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Subsidiary Guarantee, dated September 21, 2023, by and among Oramed Pharmaceuticals, Acquiom Agency Services LLC, Scilex Holding Company, and certain subsidiaries of Scilex Holding Company party thereto (incorporated by reference from our current report on Form 8-K filed September 26, 2023).</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Security Agreement, dated September 21, 2023, by and among Oramed Pharmaceuticals, Acquiom Agency Services LLC, Scilex Holding Company, and certain subsidiaries of Scilex Holding Company party thereto (incorporated by reference from our current report on Form 8-K filed September 26, 2023).</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Letter Agreement, dated as of September 20, 2024, by and between Oramed Pharmaceuticals Inc. and Scilex Holding Company (incorporated by reference from our current report on Form 8-K filed September 23, 2024).</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Master Services Agreement dated September 23, 2024, between Oramed Ltd. and InClin, Inc. (incorporated by reference from our current report on Form 8-K filed September 26, 2024).</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Securities Purchase Agreement, dated October 7, 2024, by and between Scilex Holding Company and the investors signatory thereto (incorporated by reference from our current report on Form 8-K filed October 8, 2024).</w:t>
              </w:r>
            </w:hyperlink>
          </w:p>
        </w:tc>
      </w:tr>
      <w:tr>
        <w:trPr/>
        <w:tc>
          <w:tcPr>
            <w:tcW w:w="566"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4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6"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49"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Amendment No. 1 to Scilex-Oramed SPA, dated October 8, 2024, by and between Scilex Holding Company and Oramed Pharmaceuticals Inc (incorporated by reference from our current report on Form 8-K filed October 8, 2024).</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4"/>
        <w:gridCol w:w="90"/>
        <w:gridCol w:w="9551"/>
      </w:tblGrid>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Tranche B Senior Secured Convertible Note, dated October 8, 2024, issued by Scilex Holding Company to the Company (incorporated by reference from our current report on Form 8-K filed October 8, 2024).</w:t>
              </w:r>
            </w:hyperlink>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Warrant to Purchase Common Stock, dated October 8, 2024, issued by Scilex Holding Company to the Company (incorporated by reference from our current report on Form 8-K filed October 8, 2024).</w:t>
              </w:r>
            </w:hyperlink>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Purchase and Sale Agreement, dated October 8, 2024, by and among Scilex Holding Company, Silex Pharmaceuticals Inc. and the purchasers signatory thereto (incorporated by reference from our current report on Form 8-K filed October 8, 2024).</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Security Agreement, dated October 8, 2024, by and among Scilex Pharmaceuticals Inc., and the purchasers signatory thereto (incorporated by reference from our current report on Form 8-K filed October 8, 2024).</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Subordination Agreement, dated October 8, 2024, by and among Scilex Pharmaceuticals Inc., Acquiom Agency Services LLC and other signatories thereto (incorporated by reference from our current report on Form 8-K filed October 8, 2024).</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Consent and Amendment, dated as of October 8, 2024, by and between Scilex Holding Company and Oramed Pharmaceuticals Inc. (incorporated by reference from our current report on Form 8-K filed October 8, 2024).</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Subsidiary Guarantee Amendment, dated October 8, 2024, made by certain of Scilex Holding Company subsidiaries in favor of the holders of that certain Tranche A Note (incorporated by reference from our current report on Form 8-K filed October 8, 2024).</w:t>
              </w:r>
            </w:hyperlink>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Amended and Restated Security Agreement, dated October 8, 2024, by and among Scilex Holding Company, the Subsidiaries of Scilex Holding Company party thereto, Oramed Pharmaceuticals Inc. and Acquiom Agency Services LLC (incorporated by reference from our current report on Form 8-K filed October 8, 2024).</w:t>
              </w:r>
            </w:hyperlink>
          </w:p>
        </w:tc>
      </w:tr>
      <w:tr>
        <w:trPr/>
        <w:tc>
          <w:tcPr>
            <w:tcW w:w="564"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Rest of World License Term Sheet, dated October 8, 2024, between Oramed Pharmaceuticals Inc., Scilex Holding Company and the other parties signatories thereto (incorporated by reference from our current report on Form 8-K filed October 8, 2024).</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Agreement Among Holders, dated October 8, 2024, by and between Oramed Pharmaceuticals Inc., Acquiom Agency Services LLC and the other signatories thereto (incorporated by reference from our current report on Form 8-K filed October 8, 2024).</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Deferral and Consent under Tranche B Senior Secured Convertible Note, dated January 2, 2025, by and among Scilex Holding Company, Oramed Pharmaceuticals Inc., SCLX Stock Acquisition JV LLC and Acquiom Agency Services LLC (incorporated by reference from our current report on Form 8-K filed January 3, 2025).</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Amendment to Senior Secured Promissory Note, dated January 21, 2025, by and among Scilex Holding Company, Oramed Pharmaceuticals Inc., and SCLX Stock Acquisition JV LLC (incorporated by reference from our current report on Form 8-K filed January 22, 2025).</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Share Purchase Agreement, dated as of April 28, 2025, by and between Oramed Ltd. and Alpha Tau Medical Ltd. (incorporated by reference to Exhibit 10.1 to the Company’s Current Report on Form 8-K filed on April 28, 2025).</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0"/>
              <w:ind w:left="0" w:right="0" w:hanging="0"/>
              <w:jc w:val="both"/>
              <w:rPr/>
            </w:pPr>
            <w:hyperlink w:anchor="ea028261801ex10-40.htm">
              <w:r>
                <w:rPr>
                  <w:rStyle w:val="InternetLink"/>
                  <w:rFonts w:ascii="Times New Roman;Times;Serif" w:hAnsi="Times New Roman;Times;Serif"/>
                  <w:b w:val="false"/>
                  <w:i w:val="false"/>
                  <w:caps w:val="false"/>
                  <w:smallCaps w:val="false"/>
                  <w:sz w:val="20"/>
                </w:rPr>
                <w:t>English Summary of Loan Agreement, dated March 24, 2025, by and among Oramed Ltd. and Tova Hochma Im Nachala Ltd., as Lenders, and Project Hapisga – Telefoniot HaHadasha Ltd., as Borrower (originally executed in Hebrew; filed pursuant to Rule 306 of Regulation S-T).</w:t>
              </w:r>
            </w:hyperlink>
          </w:p>
        </w:tc>
      </w:tr>
      <w:tr>
        <w:trPr/>
        <w:tc>
          <w:tcPr>
            <w:tcW w:w="564"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51" w:type="dxa"/>
            <w:tcBorders/>
            <w:vAlign w:val="center"/>
          </w:tcPr>
          <w:p>
            <w:pPr>
              <w:pStyle w:val="TableContents"/>
              <w:bidi w:val="0"/>
              <w:spacing w:before="0" w:after="283"/>
              <w:jc w:val="left"/>
              <w:rPr>
                <w:sz w:val="4"/>
                <w:szCs w:val="4"/>
              </w:rPr>
            </w:pPr>
            <w:r>
              <w:rPr>
                <w:sz w:val="4"/>
                <w:szCs w:val="4"/>
              </w:rPr>
            </w:r>
          </w:p>
        </w:tc>
      </w:tr>
      <w:tr>
        <w:trPr/>
        <w:tc>
          <w:tcPr>
            <w:tcW w:w="564"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51" w:type="dxa"/>
            <w:tcBorders/>
            <w:shd w:fill="CCEEFF" w:val="clear"/>
            <w:vAlign w:val="center"/>
          </w:tcPr>
          <w:p>
            <w:pPr>
              <w:pStyle w:val="TableContents"/>
              <w:bidi w:val="0"/>
              <w:spacing w:before="0" w:after="283"/>
              <w:jc w:val="both"/>
              <w:rPr/>
            </w:pPr>
            <w:hyperlink w:anchor="ea028261801ex10-41.htm">
              <w:r>
                <w:rPr>
                  <w:rStyle w:val="InternetLink"/>
                  <w:rFonts w:ascii="Times New Roman;Times;Serif" w:hAnsi="Times New Roman;Times;Serif"/>
                  <w:b w:val="false"/>
                  <w:i w:val="false"/>
                  <w:caps w:val="false"/>
                  <w:smallCaps w:val="false"/>
                  <w:sz w:val="20"/>
                </w:rPr>
                <w:t>English Summary of Inter-Lender Agreement, dated March 24, 2025, by and between Oramed Ltd. and Tova Hochma Im Nachala Ltd. (originally executed in Hebrew; filed pursuant to Rule 306 of Regulation S-T).</w:t>
              </w:r>
            </w:hyperlink>
          </w:p>
        </w:tc>
      </w:tr>
    </w:tbl>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0"/>
        <w:gridCol w:w="9585"/>
      </w:tblGrid>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2.htm">
              <w:r>
                <w:rPr>
                  <w:rStyle w:val="InternetLink"/>
                  <w:rFonts w:ascii="Times New Roman;Times;Serif" w:hAnsi="Times New Roman;Times;Serif"/>
                  <w:b w:val="false"/>
                  <w:i w:val="false"/>
                  <w:caps w:val="false"/>
                  <w:smallCaps w:val="false"/>
                  <w:sz w:val="20"/>
                </w:rPr>
                <w:t>Employment Agreement by and between Oramed Ltd. and Joshua Hexter, entered into as of August 18, 2019.</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3.htm">
              <w:r>
                <w:rPr>
                  <w:rStyle w:val="InternetLink"/>
                  <w:rFonts w:ascii="Times New Roman;Times;Serif" w:hAnsi="Times New Roman;Times;Serif"/>
                  <w:b w:val="false"/>
                  <w:i w:val="false"/>
                  <w:caps w:val="false"/>
                  <w:smallCaps w:val="false"/>
                  <w:sz w:val="20"/>
                </w:rPr>
                <w:t>Amendment, dated September 19, 2021, to Employment Agreement by and between Oramed Ltd. and Joshua Hexter, entered into as of August 1, 2021.</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4.htm">
              <w:r>
                <w:rPr>
                  <w:rStyle w:val="InternetLink"/>
                  <w:rFonts w:ascii="Times New Roman;Times;Serif" w:hAnsi="Times New Roman;Times;Serif"/>
                  <w:b w:val="false"/>
                  <w:i w:val="false"/>
                  <w:caps w:val="false"/>
                  <w:smallCaps w:val="false"/>
                  <w:sz w:val="20"/>
                </w:rPr>
                <w:t>Amendment, dated August 10, 2022, to Employment Agreement by and between Oramed Ltd. and Joshua Hexter, entered into as of July 1, 2022.</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5.htm">
              <w:r>
                <w:rPr>
                  <w:rStyle w:val="InternetLink"/>
                  <w:rFonts w:ascii="Times New Roman;Times;Serif" w:hAnsi="Times New Roman;Times;Serif"/>
                  <w:b w:val="false"/>
                  <w:i w:val="false"/>
                  <w:caps w:val="false"/>
                  <w:smallCaps w:val="false"/>
                  <w:sz w:val="20"/>
                </w:rPr>
                <w:t>Amendment, dated April 27, 2023, to Employment Agreement by and between Oramed Ltd. and Joshua Hexter, entered into as of April 17, 2023.</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6.htm">
              <w:r>
                <w:rPr>
                  <w:rStyle w:val="InternetLink"/>
                  <w:rFonts w:ascii="Times New Roman;Times;Serif" w:hAnsi="Times New Roman;Times;Serif"/>
                  <w:b w:val="false"/>
                  <w:i w:val="false"/>
                  <w:caps w:val="false"/>
                  <w:smallCaps w:val="false"/>
                  <w:sz w:val="20"/>
                </w:rPr>
                <w:t>Amendment, dated February 8, 2024, to Employment Agreement by and between Oramed Ltd. and Joshua Hexter, entered into as of January 1, 2024.</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7.htm">
              <w:r>
                <w:rPr>
                  <w:rStyle w:val="InternetLink"/>
                  <w:rFonts w:ascii="Times New Roman;Times;Serif" w:hAnsi="Times New Roman;Times;Serif"/>
                  <w:b w:val="false"/>
                  <w:i w:val="false"/>
                  <w:caps w:val="false"/>
                  <w:smallCaps w:val="false"/>
                  <w:sz w:val="20"/>
                </w:rPr>
                <w:t>Amendment, dated November 7, 2024, to Employment Agreement by and between Oramed Ltd. and Joshua Hexter, entered into as of July 1, 2024.</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8.htm">
              <w:r>
                <w:rPr>
                  <w:rStyle w:val="InternetLink"/>
                  <w:rFonts w:ascii="Times New Roman;Times;Serif" w:hAnsi="Times New Roman;Times;Serif"/>
                  <w:b w:val="false"/>
                  <w:i w:val="false"/>
                  <w:caps w:val="false"/>
                  <w:smallCaps w:val="false"/>
                  <w:sz w:val="20"/>
                </w:rPr>
                <w:t>Amendment, dated December 31, 2025, to Employment Agreement by and between Oramed Ltd. and Joshua Hexter, entered into as of January 1, 2026.</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10.49</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49.htm">
              <w:r>
                <w:rPr>
                  <w:rStyle w:val="InternetLink"/>
                  <w:rFonts w:ascii="Times New Roman;Times;Serif" w:hAnsi="Times New Roman;Times;Serif"/>
                  <w:b w:val="false"/>
                  <w:i w:val="false"/>
                  <w:caps w:val="false"/>
                  <w:smallCaps w:val="false"/>
                  <w:sz w:val="20"/>
                </w:rPr>
                <w:t>Consulting Agreement by and between Oramed Pharmaceuticals Inc. and Avi Gabay, entered into as of January 1, 2026, for the services of Avi Gabay.</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50.htm">
              <w:r>
                <w:rPr>
                  <w:rStyle w:val="InternetLink"/>
                  <w:rFonts w:ascii="Times New Roman;Times;Serif" w:hAnsi="Times New Roman;Times;Serif"/>
                  <w:b w:val="false"/>
                  <w:i w:val="false"/>
                  <w:caps w:val="false"/>
                  <w:smallCaps w:val="false"/>
                  <w:sz w:val="20"/>
                </w:rPr>
                <w:t>Employment Agreement by and between Oramed Ltd. and Avi Gabay, entered into as of June 6, 2024.</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w:anchor="ea028261801ex10-51.htm">
              <w:r>
                <w:rPr>
                  <w:rStyle w:val="InternetLink"/>
                  <w:rFonts w:ascii="Times New Roman;Times;Serif" w:hAnsi="Times New Roman;Times;Serif"/>
                  <w:b w:val="false"/>
                  <w:i w:val="false"/>
                  <w:caps w:val="false"/>
                  <w:smallCaps w:val="false"/>
                  <w:sz w:val="20"/>
                </w:rPr>
                <w:t>Amendment, dated December 31, 2025, to Employment Agreement by and between Oramed Ltd. and Avi Gabay, entered into as of June 6, 2024.</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Option Agreement for Repurchase of Warrants, dated July 22, 2025, between Scilex Holding Company and Oramed Pharmaceuticals Inc. (incorporated by reference to Exhibit 10.1 to the Company’s Current Report on Form 8-K filed on July 23, 2025).</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Share Repurchase Agreement, dated October 20, 2025, by and between the Company and Hefei Tianhui Biotech Co., Ltd. (incorporated by reference to Exhibit 10.1 to the Company’s Current Report on Form 8-K filed on October 24, 2025).</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Share Purchase Agreement, dated as of January 12, 2026, by and among Oramed Pharmaceuticals Inc., Oratech Pharma, Inc. and Lifeward Ltd. (incorporated by reference to Exhibit 10.1 to the Company’s Current Report on Form 8-K filed on January 14, 2026).</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Securities Purchase Agreement, dated as of January 12, 2026 (incorporated by reference to Exhibit 10.2 to the Company’s Current Report on Form 8-K filed on January 14, 2026).</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Lock-Up Agreement, dated as of January 12, 2026 (incorporated by reference to Exhibit 10.3 to the Company’s Current Report on Form 8-K filed on January 14, 2026).</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Clinical Trial Management Agreement (incorporated by reference to Exhibit 10.4 to the Company’s Current Report on Form 8-K filed on January 14, 2026).</w:t>
              </w:r>
            </w:hyperlink>
          </w:p>
        </w:tc>
      </w:tr>
      <w:tr>
        <w:trPr/>
        <w:tc>
          <w:tcPr>
            <w:tcW w:w="530"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85" w:type="dxa"/>
            <w:tcBorders/>
            <w:shd w:fill="CCEEFF" w:val="clear"/>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Warrant Agreement, dated as of February 17, 2026, by and among Oramed Pharmaceuticals Inc. and Scilex Holding Company (incorporated by reference to Exhibit 10.1 to the Company’s Current Report on Form 8-K filed on February 20, 2026).</w:t>
              </w:r>
            </w:hyperlink>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2"/>
        <w:gridCol w:w="90"/>
        <w:gridCol w:w="9563"/>
      </w:tblGrid>
      <w:tr>
        <w:trPr/>
        <w:tc>
          <w:tcPr>
            <w:tcW w:w="55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Oramed Pharmaceuticals Inc. Insider Trading Policy. (incorporated by reference to Exhibit 19.1 to the Company’s Annual Report on Form 10-K filed on March 27, 2025)</w:t>
              </w:r>
            </w:hyperlink>
          </w:p>
        </w:tc>
      </w:tr>
      <w:tr>
        <w:trPr/>
        <w:tc>
          <w:tcPr>
            <w:tcW w:w="552"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Subsidiaries. (incorporated by reference to Exhibit 21.1 to the Company’s Annual Report on Form 10-K filed on March 27, 2025)</w:t>
              </w:r>
            </w:hyperlink>
          </w:p>
        </w:tc>
      </w:tr>
      <w:tr>
        <w:trPr/>
        <w:tc>
          <w:tcPr>
            <w:tcW w:w="552"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w:anchor="ea028261801ex23-1.htm">
              <w:r>
                <w:rPr>
                  <w:rStyle w:val="InternetLink"/>
                  <w:rFonts w:ascii="Times New Roman;Times;Serif" w:hAnsi="Times New Roman;Times;Serif"/>
                  <w:b w:val="false"/>
                  <w:i w:val="false"/>
                  <w:caps w:val="false"/>
                  <w:smallCaps w:val="false"/>
                  <w:sz w:val="20"/>
                </w:rPr>
                <w:t>Consent of Kesselman &amp; Kesselman, Certified Public Accountants (Isr.), a member firm of PricewaterhouseCoopers International Limited, an independent registered public accounting firm.</w:t>
              </w:r>
            </w:hyperlink>
          </w:p>
        </w:tc>
      </w:tr>
      <w:tr>
        <w:trPr/>
        <w:tc>
          <w:tcPr>
            <w:tcW w:w="552"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w:anchor="ea028261801ex31-1.htm">
              <w:r>
                <w:rPr>
                  <w:rStyle w:val="InternetLink"/>
                  <w:rFonts w:ascii="Times New Roman;Times;Serif" w:hAnsi="Times New Roman;Times;Serif"/>
                  <w:b w:val="false"/>
                  <w:i w:val="false"/>
                  <w:caps w:val="false"/>
                  <w:smallCaps w:val="false"/>
                  <w:sz w:val="20"/>
                </w:rPr>
                <w:t>Certification Statement of the Chief Executive Officer pursuant to Rule 13a-14(a) and 15d-14(a) under the Securities Exchange Act of 1934, as amended.</w:t>
              </w:r>
            </w:hyperlink>
          </w:p>
        </w:tc>
      </w:tr>
      <w:tr>
        <w:trPr/>
        <w:tc>
          <w:tcPr>
            <w:tcW w:w="552"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w:anchor="ea028261801ex31-2.htm">
              <w:r>
                <w:rPr>
                  <w:rStyle w:val="InternetLink"/>
                  <w:rFonts w:ascii="Times New Roman;Times;Serif" w:hAnsi="Times New Roman;Times;Serif"/>
                  <w:b w:val="false"/>
                  <w:i w:val="false"/>
                  <w:caps w:val="false"/>
                  <w:smallCaps w:val="false"/>
                  <w:sz w:val="20"/>
                </w:rPr>
                <w:t>Certification Statement of the Chief Financial Officer pursuant to Rule 13a-14(a) and 15d-14(a) under the Securities Exchange Act of 1934, as amended.</w:t>
              </w:r>
            </w:hyperlink>
          </w:p>
        </w:tc>
      </w:tr>
      <w:tr>
        <w:trPr/>
        <w:tc>
          <w:tcPr>
            <w:tcW w:w="552" w:type="dxa"/>
            <w:tcBorders/>
            <w:vAlign w:val="center"/>
          </w:tcPr>
          <w:p>
            <w:pPr>
              <w:pStyle w:val="TableContents"/>
              <w:bidi w:val="0"/>
              <w:spacing w:before="0" w:after="283"/>
              <w:jc w:val="both"/>
              <w:rPr>
                <w:caps w:val="false"/>
                <w:smallCaps w:val="false"/>
              </w:rPr>
            </w:pPr>
            <w:r>
              <w:rPr>
                <w:caps w:val="false"/>
                <w:smallCaps w:val="false"/>
              </w:rPr>
              <w:t> </w:t>
            </w:r>
          </w:p>
        </w:tc>
        <w:tc>
          <w:tcPr>
            <w:tcW w:w="90" w:type="dxa"/>
            <w:tcBorders/>
            <w:vAlign w:val="center"/>
          </w:tcPr>
          <w:p>
            <w:pPr>
              <w:pStyle w:val="TableContents"/>
              <w:bidi w:val="0"/>
              <w:spacing w:before="0" w:after="283"/>
              <w:jc w:val="both"/>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w:anchor="ea028261801ex32-1.htm">
              <w:r>
                <w:rPr>
                  <w:rStyle w:val="InternetLink"/>
                  <w:rFonts w:ascii="Times New Roman;Times;Serif" w:hAnsi="Times New Roman;Times;Serif"/>
                  <w:b w:val="false"/>
                  <w:i w:val="false"/>
                  <w:caps w:val="false"/>
                  <w:smallCaps w:val="false"/>
                  <w:sz w:val="20"/>
                </w:rPr>
                <w:t>Certification Statement of the Principal Executive Officer pursuant to 18 U.S.C. Section 1350.</w:t>
              </w:r>
            </w:hyperlink>
          </w:p>
        </w:tc>
      </w:tr>
      <w:tr>
        <w:trPr/>
        <w:tc>
          <w:tcPr>
            <w:tcW w:w="552"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w:anchor="ea028261801ex32-2.htm">
              <w:r>
                <w:rPr>
                  <w:rStyle w:val="InternetLink"/>
                  <w:rFonts w:ascii="Times New Roman;Times;Serif" w:hAnsi="Times New Roman;Times;Serif"/>
                  <w:b w:val="false"/>
                  <w:i w:val="false"/>
                  <w:caps w:val="false"/>
                  <w:smallCaps w:val="false"/>
                  <w:sz w:val="20"/>
                </w:rPr>
                <w:t>Certification Statement of the Principal Financial Officer pursuant to 18 U.S.C. Section 1350.</w:t>
              </w:r>
            </w:hyperlink>
          </w:p>
        </w:tc>
      </w:tr>
      <w:tr>
        <w:trPr/>
        <w:tc>
          <w:tcPr>
            <w:tcW w:w="552"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Oramed Pharmaceuticals Inc. Clawback Policy, adopted November 9, 2023 (incorporated by reference from our annual report on Form 10-K filed March 6, 2024).</w:t>
              </w:r>
            </w:hyperlink>
          </w:p>
        </w:tc>
      </w:tr>
      <w:tr>
        <w:trPr/>
        <w:tc>
          <w:tcPr>
            <w:tcW w:w="552"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statements from the Company’s annual report on Form 10-K for the year ended December 31, 2025, formatted in XBRL (eXtensible Business Reporting Language): (i) Consolidated Balance Sheets, (ii) Consolidated Statements of Loss, (iii) Consolidated Statements of Changes in Stockholders’ Equity, (iv) Consolidated Statements of Cash Flows and (v) the Notes to Consolidated Financial Statements, tagged as blocks of text and in detail.</w:t>
            </w:r>
          </w:p>
        </w:tc>
      </w:tr>
      <w:tr>
        <w:trPr/>
        <w:tc>
          <w:tcPr>
            <w:tcW w:w="552"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5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155"/>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68"/>
        <w:gridCol w:w="260"/>
        <w:gridCol w:w="170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68"/>
        <w:gridCol w:w="155"/>
        <w:gridCol w:w="3710"/>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 or compensation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exhibits and similar attachments to this agreement have been omitted in accordance with Item 601(a)(5) of Regulation S-K. A copy of any omitted exhibit or other attachment will be furnished supplementary to the SEC upon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29"/>
      <w:bookmarkEnd w:id="36"/>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 (d) of the Securities Exchange Act of 1934, the registrant has duly caused this report to be signed on its behalf by the undersigned, thereunto duly authorized.</w:t>
      </w:r>
    </w:p>
    <w:p>
      <w:pPr>
        <w:pStyle w:val="TextBody"/>
        <w:bidi w:val="0"/>
        <w:spacing w:before="0" w:after="0"/>
        <w:ind w:left="720" w:right="0" w:hanging="0"/>
        <w:jc w:val="both"/>
        <w:rPr>
          <w:caps w:val="false"/>
          <w:smallCaps w:val="false"/>
        </w:rPr>
      </w:pPr>
      <w:r>
        <w:rPr>
          <w:caps w:val="false"/>
          <w:smallCaps w:val="false"/>
        </w:rPr>
        <w:t> </w:t>
      </w:r>
    </w:p>
    <w:tbl>
      <w:tblPr>
        <w:tblW w:w="3575" w:type="dxa"/>
        <w:jc w:val="left"/>
        <w:tblInd w:w="0" w:type="dxa"/>
        <w:tblLayout w:type="fixed"/>
        <w:tblCellMar>
          <w:top w:w="0" w:type="dxa"/>
          <w:left w:w="0" w:type="dxa"/>
          <w:bottom w:w="0" w:type="dxa"/>
          <w:right w:w="0" w:type="dxa"/>
        </w:tblCellMar>
      </w:tblPr>
      <w:tblGrid>
        <w:gridCol w:w="105"/>
        <w:gridCol w:w="3470"/>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ORAMED PHARMACEUTICALS INC.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Nadav Kidron</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26, 2026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5650" w:type="dxa"/>
        <w:jc w:val="left"/>
        <w:tblInd w:w="0" w:type="dxa"/>
        <w:tblLayout w:type="fixed"/>
        <w:tblCellMar>
          <w:top w:w="0" w:type="dxa"/>
          <w:left w:w="0" w:type="dxa"/>
          <w:bottom w:w="28" w:type="dxa"/>
          <w:right w:w="0" w:type="dxa"/>
        </w:tblCellMar>
      </w:tblPr>
      <w:tblGrid>
        <w:gridCol w:w="4175"/>
        <w:gridCol w:w="90"/>
        <w:gridCol w:w="1385"/>
      </w:tblGrid>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Nadav Kidron</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 and Director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Avraham Gabay</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Avraham Gabay,</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Daniel Aghion</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Daniel Aghion,</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Miriam Kidron</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Miriam Kidron,</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Arie Mayer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Arie Mayer,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Yehuda Reznick</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Yehuda Reznick,</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Benjamin Shapiro</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Shapiro,</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1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7" w:name="ea028261801ex10-2.htm"/>
      <w:bookmarkStart w:id="38" w:name="ksea028261801ex102"/>
      <w:bookmarkEnd w:id="37"/>
      <w:bookmarkEnd w:id="38"/>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to 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Consulting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entered into as of December 31, 2025 and is effective as of January 1, 2026, by and between </w:t>
      </w: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t>, a company incorporated under the laws of the State of Delaware,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Shnida Ltd.</w:t>
      </w:r>
      <w:r>
        <w:rPr>
          <w:rFonts w:ascii="Times New Roman;Times;Serif" w:hAnsi="Times New Roman;Times;Serif"/>
          <w:b w:val="false"/>
          <w:i w:val="false"/>
          <w:caps w:val="false"/>
          <w:smallCaps w:val="false"/>
          <w:sz w:val="20"/>
        </w:rPr>
        <w:t>, a company incorporated under the laws of the State of Israel, (company I.D. no. 514519016) with an address at 32 Eliezer Hagadol Street, Jerusalem (the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Consultant entered into a consulting agreement, effective as of November 1, 2022 and amended as of April 27, 2023, as of January 8, 2024 and November 7, 2024 (the “</w:t>
      </w:r>
      <w:r>
        <w:rPr>
          <w:rFonts w:ascii="Times New Roman;Times;Serif" w:hAnsi="Times New Roman;Times;Serif"/>
          <w:b/>
          <w:i w:val="false"/>
          <w:caps w:val="false"/>
          <w:smallCaps w:val="false"/>
          <w:sz w:val="20"/>
        </w:rPr>
        <w:t>Consulting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Consultant desire to amend the terms and conditions of the Consulting Agreement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Consultant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1.</w:t>
            </w:r>
          </w:p>
        </w:tc>
        <w:tc>
          <w:tcPr>
            <w:tcW w:w="9980" w:type="dxa"/>
            <w:tcBorders/>
            <w:vAlign w:val="center"/>
          </w:tcPr>
          <w:p>
            <w:pPr>
              <w:pStyle w:val="TableContents"/>
              <w:bidi w:val="0"/>
              <w:spacing w:before="0" w:after="283"/>
              <w:jc w:val="both"/>
              <w:rPr/>
            </w:pPr>
            <w:r>
              <w:rPr>
                <w:u w:val="single"/>
              </w:rPr>
              <w:t>Amendment to Section 6</w:t>
            </w:r>
            <w:r>
              <w:rPr/>
              <w:t>. Section 6 of the Consulting Agreement is hereby amended and restated in its entirety to read as follows: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Effective January 1, 2026 (inclusive), the Company shall pay to the Consultant in consideration for the performance of the Consulting Services, a gross monthly amount of NIS 118,586 (the “</w:t>
      </w:r>
      <w:r>
        <w:rPr>
          <w:rFonts w:ascii="Times New Roman;Times;Serif" w:hAnsi="Times New Roman;Times;Serif"/>
          <w:b/>
          <w:i w:val="false"/>
          <w:caps w:val="false"/>
          <w:smallCaps w:val="false"/>
          <w:sz w:val="20"/>
        </w:rPr>
        <w:t>Consideration</w:t>
      </w:r>
      <w:r>
        <w:rPr>
          <w:rFonts w:ascii="Times New Roman;Times;Serif" w:hAnsi="Times New Roman;Times;Serif"/>
          <w:b w:val="false"/>
          <w:i w:val="false"/>
          <w:caps w:val="false"/>
          <w:smallCaps w:val="false"/>
          <w:sz w:val="20"/>
        </w:rPr>
        <w:t>”), subject to the receipt by the Company of an invoice from the Consultant.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2.</w:t>
            </w:r>
          </w:p>
        </w:tc>
        <w:tc>
          <w:tcPr>
            <w:tcW w:w="10017" w:type="dxa"/>
            <w:tcBorders/>
            <w:vAlign w:val="center"/>
          </w:tcPr>
          <w:p>
            <w:pPr>
              <w:pStyle w:val="TableContents"/>
              <w:bidi w:val="0"/>
              <w:spacing w:before="0" w:after="283"/>
              <w:jc w:val="both"/>
              <w:rPr/>
            </w:pPr>
            <w:r>
              <w:rPr/>
              <w:t>Except for the changes and/or additions stated herein, all the other terms of the Consulting Agreement shall remain valid and bind the parties without any change. In the case of a contradiction between the provisions of this Amendment and the provisions of the Consulting Agreement, the provisions of this Amendment shall prevail. Without limiting the generality of the foregoing, the term “Agreement” as used in the Consulting Agreement shall be deemed to be the Consulting Agreement as amended by this Amendment.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to Consulting Agreement as of the date written above.</w:t>
      </w:r>
    </w:p>
    <w:p>
      <w:pPr>
        <w:pStyle w:val="TextBody"/>
        <w:bidi w:val="0"/>
        <w:spacing w:before="0" w:after="0"/>
        <w:ind w:left="0" w:right="0" w:firstLine="720"/>
        <w:jc w:val="both"/>
        <w:rPr>
          <w:caps w:val="false"/>
          <w:smallCaps w:val="false"/>
        </w:rPr>
      </w:pPr>
      <w:r>
        <w:rPr>
          <w:caps w:val="false"/>
          <w:smallCaps w:val="false"/>
        </w:rPr>
        <w:t> </w:t>
      </w:r>
    </w:p>
    <w:tbl>
      <w:tblPr>
        <w:tblW w:w="5924" w:type="dxa"/>
        <w:jc w:val="left"/>
        <w:tblInd w:w="0" w:type="dxa"/>
        <w:tblLayout w:type="fixed"/>
        <w:tblCellMar>
          <w:top w:w="0" w:type="dxa"/>
          <w:left w:w="0" w:type="dxa"/>
          <w:bottom w:w="0" w:type="dxa"/>
          <w:right w:w="0" w:type="dxa"/>
        </w:tblCellMar>
      </w:tblPr>
      <w:tblGrid>
        <w:gridCol w:w="772"/>
        <w:gridCol w:w="2592"/>
        <w:gridCol w:w="60"/>
        <w:gridCol w:w="545"/>
        <w:gridCol w:w="1955"/>
      </w:tblGrid>
      <w:tr>
        <w:trPr/>
        <w:tc>
          <w:tcPr>
            <w:tcW w:w="33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Shnida LTD.</w:t>
            </w:r>
          </w:p>
        </w:tc>
      </w:tr>
      <w:tr>
        <w:trPr/>
        <w:tc>
          <w:tcPr>
            <w:tcW w:w="772" w:type="dxa"/>
            <w:tcBorders/>
            <w:vAlign w:val="center"/>
          </w:tcPr>
          <w:p>
            <w:pPr>
              <w:pStyle w:val="TableContents"/>
              <w:bidi w:val="0"/>
              <w:spacing w:before="0" w:after="283"/>
              <w:jc w:val="left"/>
              <w:rPr>
                <w:caps w:val="false"/>
                <w:smallCaps w:val="false"/>
              </w:rPr>
            </w:pPr>
            <w:r>
              <w:rPr>
                <w:caps w:val="false"/>
                <w:smallCaps w:val="false"/>
              </w:rPr>
              <w:t> </w:t>
            </w:r>
          </w:p>
        </w:tc>
        <w:tc>
          <w:tcPr>
            <w:tcW w:w="259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59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Gabay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w:t>
            </w:r>
          </w:p>
        </w:tc>
      </w:tr>
      <w:tr>
        <w:trPr/>
        <w:tc>
          <w:tcPr>
            <w:tcW w:w="7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confirm that I have read this Amendment, understood its terms and agree to be personally bound by all its terms and provisions.</w:t>
      </w:r>
    </w:p>
    <w:p>
      <w:pPr>
        <w:pStyle w:val="TextBody"/>
        <w:bidi w:val="0"/>
        <w:spacing w:before="0" w:after="0"/>
        <w:ind w:left="0" w:right="0" w:hanging="0"/>
        <w:jc w:val="both"/>
        <w:rPr>
          <w:caps w:val="false"/>
          <w:smallCaps w:val="false"/>
        </w:rPr>
      </w:pPr>
      <w:r>
        <w:rPr>
          <w:caps w:val="false"/>
          <w:smallCaps w:val="false"/>
        </w:rPr>
        <w:t> </w:t>
      </w:r>
    </w:p>
    <w:tbl>
      <w:tblPr>
        <w:tblW w:w="1474" w:type="dxa"/>
        <w:jc w:val="left"/>
        <w:tblInd w:w="0" w:type="dxa"/>
        <w:tblLayout w:type="fixed"/>
        <w:tblCellMar>
          <w:top w:w="0" w:type="dxa"/>
          <w:left w:w="0" w:type="dxa"/>
          <w:bottom w:w="28" w:type="dxa"/>
          <w:right w:w="0" w:type="dxa"/>
        </w:tblCellMar>
      </w:tblPr>
      <w:tblGrid>
        <w:gridCol w:w="776"/>
        <w:gridCol w:w="623"/>
        <w:gridCol w:w="75"/>
      </w:tblGrid>
      <w:tr>
        <w:trPr/>
        <w:tc>
          <w:tcPr>
            <w:tcW w:w="776" w:type="dxa"/>
            <w:tcBorders>
              <w:bottom w:val="single" w:sz="12" w:space="0" w:color="000000"/>
            </w:tcBorders>
            <w:vAlign w:val="center"/>
          </w:tcPr>
          <w:p>
            <w:pPr>
              <w:pStyle w:val="TableContents"/>
              <w:bidi w:val="0"/>
              <w:spacing w:before="0" w:after="283"/>
              <w:jc w:val="left"/>
              <w:rPr/>
            </w:pPr>
            <w:r>
              <w:rPr/>
              <w:t> </w:t>
            </w:r>
          </w:p>
        </w:tc>
        <w:tc>
          <w:tcPr>
            <w:tcW w:w="623"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399" w:type="dxa"/>
            <w:gridSpan w:val="2"/>
            <w:tcBorders/>
            <w:tcMar>
              <w:bottom w:w="0" w:type="dxa"/>
            </w:tcMar>
            <w:vAlign w:val="center"/>
          </w:tcPr>
          <w:p>
            <w:pPr>
              <w:pStyle w:val="TableContents"/>
              <w:bidi w:val="0"/>
              <w:spacing w:before="0" w:after="283"/>
              <w:jc w:val="left"/>
              <w:rPr/>
            </w:pPr>
            <w:r>
              <w:rPr/>
              <w:t>Nadav Kidron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9" w:name="ea028261801ex10-8.htm"/>
      <w:bookmarkStart w:id="40" w:name="ksea028261801ex108"/>
      <w:bookmarkEnd w:id="39"/>
      <w:bookmarkEnd w:id="40"/>
      <w:r>
        <w:rPr>
          <w:rFonts w:ascii="Times New Roman;Times;Serif" w:hAnsi="Times New Roman;Times;Serif"/>
          <w:b/>
          <w:i w:val="false"/>
          <w:caps w:val="false"/>
          <w:smallCaps w:val="false"/>
          <w:sz w:val="20"/>
        </w:rPr>
        <w:t>Exhibit 10.8</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Consulting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effective as of April 1, 2025, by and between </w:t>
      </w: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t>, a company incorporated under the laws of the State of Delaware,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KNRY Ltd., </w:t>
      </w:r>
      <w:r>
        <w:rPr>
          <w:rFonts w:ascii="Times New Roman;Times;Serif" w:hAnsi="Times New Roman;Times;Serif"/>
          <w:b w:val="false"/>
          <w:i w:val="false"/>
          <w:caps w:val="false"/>
          <w:smallCaps w:val="false"/>
          <w:sz w:val="20"/>
        </w:rPr>
        <w:t>a company incorporated under the laws of the State of Israel, (company I.D. no. 513836502) with an address at 2 Elza Street, Jerusalem (the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w:t>
      </w:r>
    </w:p>
    <w:p>
      <w:pPr>
        <w:pStyle w:val="TextBody"/>
        <w:bidi w:val="0"/>
        <w:spacing w:before="0" w:after="0"/>
        <w:ind w:left="2160" w:right="0" w:hanging="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05"/>
        <w:gridCol w:w="8962"/>
      </w:tblGrid>
      <w:tr>
        <w:trPr/>
        <w:tc>
          <w:tcPr>
            <w:tcW w:w="3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WHEREAS</w:t>
            </w:r>
          </w:p>
        </w:tc>
        <w:tc>
          <w:tcPr>
            <w:tcW w:w="8962" w:type="dxa"/>
            <w:tcBorders/>
            <w:vAlign w:val="center"/>
          </w:tcPr>
          <w:p>
            <w:pPr>
              <w:pStyle w:val="TableContents"/>
              <w:bidi w:val="0"/>
              <w:spacing w:before="0" w:after="283"/>
              <w:jc w:val="both"/>
              <w:rPr/>
            </w:pPr>
            <w:r>
              <w:rPr/>
              <w:t>the Company wishes to obtain consulting services from the Consultant to be provided by Miriam Kidron (Israeli I.D. number 009665993) (“</w:t>
            </w:r>
            <w:r>
              <w:rPr>
                <w:b/>
              </w:rPr>
              <w:t>Miriam</w:t>
            </w:r>
            <w:r>
              <w:rPr/>
              <w:t>”) exclusively and the Consultant wishes to provide the Company with consulting services as an external consultant to the Company through Miriam exclusively and pursuant to the terms and conditions of this Agreement; and</w:t>
            </w:r>
          </w:p>
        </w:tc>
      </w:tr>
    </w:tbl>
    <w:p>
      <w:pPr>
        <w:pStyle w:val="TextBody"/>
        <w:bidi w:val="0"/>
        <w:spacing w:before="0" w:after="0"/>
        <w:ind w:left="216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43"/>
        <w:gridCol w:w="8717"/>
      </w:tblGrid>
      <w:tr>
        <w:trPr/>
        <w:tc>
          <w:tcPr>
            <w:tcW w:w="4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pPr>
            <w:r>
              <w:rPr/>
              <w:t>WHEREAS</w:t>
            </w:r>
          </w:p>
        </w:tc>
        <w:tc>
          <w:tcPr>
            <w:tcW w:w="8717" w:type="dxa"/>
            <w:tcBorders/>
            <w:vAlign w:val="center"/>
          </w:tcPr>
          <w:p>
            <w:pPr>
              <w:pStyle w:val="TableContents"/>
              <w:bidi w:val="0"/>
              <w:spacing w:before="0" w:after="283"/>
              <w:jc w:val="both"/>
              <w:rPr/>
            </w:pPr>
            <w:r>
              <w:rPr/>
              <w:t>the parties wish to regulate their legal relations as set forth in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hereby agree as follows: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1.</w:t>
            </w:r>
          </w:p>
        </w:tc>
        <w:tc>
          <w:tcPr>
            <w:tcW w:w="10016" w:type="dxa"/>
            <w:tcBorders/>
            <w:vAlign w:val="center"/>
          </w:tcPr>
          <w:p>
            <w:pPr>
              <w:pStyle w:val="TableContents"/>
              <w:bidi w:val="0"/>
              <w:spacing w:before="0" w:after="283"/>
              <w:jc w:val="both"/>
              <w:rPr/>
            </w:pPr>
            <w:r>
              <w:rPr>
                <w:u w:val="single"/>
              </w:rPr>
              <w:t>Appointment</w:t>
            </w:r>
            <w:r>
              <w:rPr/>
              <w:t>. The Company hereby appoints the Consultant, and the Consultant hereby agrees to serve the Company through Miriam exclusively, in the capacity of a consultant to the Company. For the avoidance of doubt, it is hereby clarified that in the event the Consultant ceases to provide the Consulting Services (as hereinafter defined) through Miriam exclusively, the Company shall have the right to terminate this Agreement immediately upon notification of such termination, without any further notice.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u w:val="single"/>
              </w:rPr>
              <w:t>The Consulting Services</w:t>
            </w:r>
            <w:r>
              <w:rPr/>
              <w:t>. Until the termination of this Agreement, the Consultant through Miriam exclusively shall, as and when requested by the Company, act as a consultant and render his assistance and participation as the President and Chief Executive Officer of the Company, giving the full benefit of his knowledge, expertise, technical skill and ingenuity, in all matters involved in or relating to the business thereof (the “</w:t>
            </w:r>
            <w:r>
              <w:rPr>
                <w:b/>
              </w:rPr>
              <w:t>Consulting Services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6" w:type="dxa"/>
            <w:tcBorders/>
            <w:vAlign w:val="center"/>
          </w:tcPr>
          <w:p>
            <w:pPr>
              <w:pStyle w:val="TableContents"/>
              <w:bidi w:val="0"/>
              <w:spacing w:before="0" w:after="283"/>
              <w:jc w:val="both"/>
              <w:rPr/>
            </w:pPr>
            <w:r>
              <w:rPr>
                <w:u w:val="single"/>
              </w:rPr>
              <w:t>Supervision</w:t>
            </w:r>
            <w:r>
              <w:rPr/>
              <w:t>. While acting as a consultant for the Company through Miriam exclusively, the Consultant and Miriam shall be under the supervision of the Chief Executive Officer (the “</w:t>
            </w:r>
            <w:r>
              <w:rPr>
                <w:b/>
              </w:rPr>
              <w:t>Manager</w:t>
            </w:r>
            <w:r>
              <w:rPr/>
              <w:t>”) and shall report to and receive instructions from the Manager.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90" w:type="dxa"/>
            <w:tcBorders/>
            <w:vAlign w:val="center"/>
          </w:tcPr>
          <w:p>
            <w:pPr>
              <w:pStyle w:val="TableContents"/>
              <w:bidi w:val="0"/>
              <w:spacing w:before="0" w:after="283"/>
              <w:jc w:val="both"/>
              <w:rPr/>
            </w:pPr>
            <w:r>
              <w:rPr>
                <w:u w:val="single"/>
              </w:rPr>
              <w:t>Commencement of the Agreement</w:t>
            </w:r>
            <w:r>
              <w:rPr/>
              <w:t>. The contractual relationship pursuant to this Agreement commenced on April 1, 2025 (the “</w:t>
            </w:r>
            <w:r>
              <w:rPr>
                <w:b/>
              </w:rPr>
              <w:t>Commencement Date</w:t>
            </w:r>
            <w:r>
              <w:rPr/>
              <w: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5.</w:t>
            </w:r>
          </w:p>
        </w:tc>
        <w:tc>
          <w:tcPr>
            <w:tcW w:w="9991" w:type="dxa"/>
            <w:tcBorders/>
            <w:vAlign w:val="center"/>
          </w:tcPr>
          <w:p>
            <w:pPr>
              <w:pStyle w:val="TableContents"/>
              <w:bidi w:val="0"/>
              <w:spacing w:before="0" w:after="283"/>
              <w:jc w:val="both"/>
              <w:rPr/>
            </w:pPr>
            <w:r>
              <w:rPr>
                <w:u w:val="single"/>
              </w:rPr>
              <w:t>Term</w:t>
            </w:r>
            <w:r>
              <w:rPr/>
              <w:t>. Either party may terminate this Agreement, for any reason whatsoever, upon the provision of a 140 day prior written notice (the “</w:t>
            </w:r>
            <w:r>
              <w:rPr>
                <w:b/>
              </w:rPr>
              <w:t>Prior Written Notice</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may, at any time following the Commencement Date, terminate this Agreement immediately by provision of a written notice (and without any further notice, including the Prior Written Notice referred to above), in which case the termination date of this Agreement shall be the effective date of such notice of immediate termination, in any of the following circumstances: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Commission of a criminal offence, breach of trust or action adverse to the Company, its monies, property, assets or employees by the Consultant and/or Miriam.</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51"/>
        <w:gridCol w:w="9813"/>
      </w:tblGrid>
      <w:tr>
        <w:trPr/>
        <w:tc>
          <w:tcPr>
            <w:tcW w:w="4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5.2</w:t>
            </w:r>
          </w:p>
        </w:tc>
        <w:tc>
          <w:tcPr>
            <w:tcW w:w="9813" w:type="dxa"/>
            <w:tcBorders/>
            <w:vAlign w:val="center"/>
          </w:tcPr>
          <w:p>
            <w:pPr>
              <w:pStyle w:val="TableContents"/>
              <w:bidi w:val="0"/>
              <w:spacing w:before="0" w:after="283"/>
              <w:jc w:val="both"/>
              <w:rPr/>
            </w:pPr>
            <w:r>
              <w:rPr/>
              <w:t>Breach of any of the Consultant’s and/or Miriam’s undertakings as set forth in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The Consultant is for any reason unable to provide the Consulting Services through Miriam exclusively at a reasonable time as required by the Company pursuant to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6.</w:t>
            </w:r>
          </w:p>
        </w:tc>
        <w:tc>
          <w:tcPr>
            <w:tcW w:w="10010" w:type="dxa"/>
            <w:tcBorders/>
            <w:vAlign w:val="center"/>
          </w:tcPr>
          <w:p>
            <w:pPr>
              <w:pStyle w:val="TableContents"/>
              <w:bidi w:val="0"/>
              <w:spacing w:before="0" w:after="283"/>
              <w:jc w:val="both"/>
              <w:rPr/>
            </w:pPr>
            <w:r>
              <w:rPr>
                <w:u w:val="single"/>
              </w:rPr>
              <w:t>Compensation</w:t>
            </w:r>
            <w:r>
              <w:rPr/>
              <w:t>. Effective April 1, 2025 (inclusive), the Company shall pay to the Consultant in consideration for the performance of the Consulting Services, a gross monthly amount of NIS 71,648 + VAT (the “</w:t>
            </w:r>
            <w:r>
              <w:rPr>
                <w:b/>
              </w:rPr>
              <w:t>Consideration</w:t>
            </w:r>
            <w:r>
              <w:rPr/>
              <w:t>”), subject to the receipt by the Company of an invoice from the Consultant.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7.</w:t>
            </w:r>
          </w:p>
        </w:tc>
        <w:tc>
          <w:tcPr>
            <w:tcW w:w="10018" w:type="dxa"/>
            <w:tcBorders/>
            <w:vAlign w:val="center"/>
          </w:tcPr>
          <w:p>
            <w:pPr>
              <w:pStyle w:val="TableContents"/>
              <w:bidi w:val="0"/>
              <w:spacing w:before="0" w:after="283"/>
              <w:jc w:val="both"/>
              <w:rPr/>
            </w:pPr>
            <w:r>
              <w:rPr>
                <w:u w:val="single"/>
              </w:rPr>
              <w:t>Reimbursement of Expenses</w:t>
            </w:r>
            <w:r>
              <w:rPr/>
              <w:t xml:space="preserve"> – The Consultant will be reimbursed for any reasonable expenses incurred in connection with the performance of the Consulting Services under this Agreement subject to the Company’s prior written authorization, and provided, that, the Consultant submits such verification of the expenses as the Company may require. The Company will reimburse the Consultant for previously approved expenses in accordance with the Company’s then applicable expense reimbursement policy.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shall reimburse the Consultant for pre-approved travel expenses incurred in connection with the performance of the Consulting Services under this Agreement.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8.</w:t>
            </w:r>
          </w:p>
        </w:tc>
        <w:tc>
          <w:tcPr>
            <w:tcW w:w="10007" w:type="dxa"/>
            <w:tcBorders/>
            <w:vAlign w:val="center"/>
          </w:tcPr>
          <w:p>
            <w:pPr>
              <w:pStyle w:val="TableContents"/>
              <w:bidi w:val="0"/>
              <w:spacing w:before="0" w:after="283"/>
              <w:jc w:val="both"/>
              <w:rPr/>
            </w:pPr>
            <w:r>
              <w:rPr>
                <w:u w:val="single"/>
              </w:rPr>
              <w:t>Directors’ and Officers’ Liability Coverage</w:t>
            </w:r>
            <w:r>
              <w:rPr/>
              <w:t>. The Company shall provide the Consultant, for the benefit of Miriam, (including his heirs, executors and administrators) with coverage under a standard directors’ and officers’ liability insurance policy at the Company’s expense.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283"/>
              <w:jc w:val="both"/>
              <w:rPr/>
            </w:pPr>
            <w:r>
              <w:rPr>
                <w:u w:val="single"/>
              </w:rPr>
              <w:t>Tax Withholding</w:t>
            </w:r>
            <w:r>
              <w:rPr/>
              <w:t>. Notwithstanding the above, the Company has the right to withhold any amounts from payments made to the Consultant under this Agreement, including, inter alia, the Consideration, to the extent necessary to comply with any applicable tax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10.</w:t>
            </w:r>
          </w:p>
        </w:tc>
        <w:tc>
          <w:tcPr>
            <w:tcW w:w="9893" w:type="dxa"/>
            <w:tcBorders/>
            <w:vAlign w:val="center"/>
          </w:tcPr>
          <w:p>
            <w:pPr>
              <w:pStyle w:val="TableContents"/>
              <w:bidi w:val="0"/>
              <w:spacing w:before="0" w:after="283"/>
              <w:jc w:val="both"/>
              <w:rPr/>
            </w:pPr>
            <w:r>
              <w:rPr>
                <w:u w:val="single"/>
              </w:rPr>
              <w:t>Confidentiality, Non-Competition and Intellectual Property</w:t>
            </w:r>
            <w:r>
              <w:rPr/>
              <w:t xml:space="preserve">. Each of the Consultant and Miriam agrees during the term of this Agreement and thereafter to be bound by, and shall have executed and delivered to the Company, the Proprietary Information, Non-Compete and Protection of Intellectual Property Undertaking, substantially in the form of </w:t>
            </w:r>
            <w:r>
              <w:rPr>
                <w:b/>
              </w:rPr>
              <w:t>Exhibit A</w:t>
            </w:r>
            <w:r>
              <w:rPr/>
              <w:t xml:space="preserve"> hereto.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11.</w:t>
            </w:r>
          </w:p>
        </w:tc>
        <w:tc>
          <w:tcPr>
            <w:tcW w:w="9901" w:type="dxa"/>
            <w:tcBorders/>
            <w:vAlign w:val="center"/>
          </w:tcPr>
          <w:p>
            <w:pPr>
              <w:pStyle w:val="TableContents"/>
              <w:bidi w:val="0"/>
              <w:spacing w:before="0" w:after="283"/>
              <w:jc w:val="both"/>
              <w:rPr/>
            </w:pPr>
            <w:r>
              <w:rPr>
                <w:u w:val="single"/>
              </w:rPr>
              <w:t>No Conflict of Interest</w:t>
            </w:r>
            <w:r>
              <w:rPr/>
              <w:t>. Each of the Consultant and Miriam agrees during the term of the Agreement not to accept any work or enter into any contract or understanding or accept an obligation, inconsistent or incompatible with the Consultant’s and/or Miriam’s obligations under this Agreement or the scope of the Consulting Services. Each of the Consultant and Miriam warrants that there is no other existing contract or duty on the Consultant’s and/or Miriam’s part inconsistent with this Agreement. Each of the Consultant and Miriam further agrees not to disclose to the Company, or induce the Company to use any confidential information that belongs to anyone other than the Company or the Consultant.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12.</w:t>
            </w:r>
          </w:p>
        </w:tc>
        <w:tc>
          <w:tcPr>
            <w:tcW w:w="9903" w:type="dxa"/>
            <w:tcBorders/>
            <w:vAlign w:val="center"/>
          </w:tcPr>
          <w:p>
            <w:pPr>
              <w:pStyle w:val="TableContents"/>
              <w:bidi w:val="0"/>
              <w:spacing w:before="0" w:after="283"/>
              <w:jc w:val="both"/>
              <w:rPr/>
            </w:pPr>
            <w:r>
              <w:rPr>
                <w:u w:val="single"/>
              </w:rPr>
              <w:t>Independent Consultant Relationship</w:t>
            </w:r>
            <w:r>
              <w:rPr/>
              <w:t>. Each of the Consultant and Miriam hereby declares and undertakes, that its relationship with the Company will be that of an independent consultant and nothing in this Agreement should be construed to create a partnership, joint venture, or employer-employee relationship between the Company and the Consultant and/or Miriam. Each of the Consultant and Miriam agrees, that it/he will not be entitled to any of the benefits that the Company may make available to its employees, such as group insurance, profit sharing or retirement benefits, unless otherwise mentioned herein. Furthermore, Each of the Consultant and Miriam agrees that no title that the Consultant and/or Miriam shall carry while acting in the capacity of a consultant of the Company, nor any conduct by the Company or the Consultant, shall derogate from this Section 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will be solely responsible for all tax returns and payments required to be filed with or made to any tax authority with respect to the Consultant’s performance of the Consulting Services and receipt of fees under this Agreement. Because the Consultant is an independent contractor, the Company will not withhold or make payments for National Insurance Institute; make unemployment insurance or disability insurance contributions; or obtain worker’s compensation insurance on the Consultant’s behalf.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each of the Consultant and Miriam hereby declares, that the Consultant is the sole employer of Miriam and therefore the Consultant has the sole and complete liability for Miriam’s employment in any aspect whatsoever including,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obligations such as payment of taxes, National Insurance, disability, severance pay and other contributions based on fees paid to Miriam. The Consultant hereby agrees to indemnify and defend the Company against any and all such taxes or contributions, including penalties and interest, and the Company shall be entitled to require the Consultant to produce evidence of effecting the payments as aforesaid.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13.</w:t>
            </w:r>
          </w:p>
        </w:tc>
        <w:tc>
          <w:tcPr>
            <w:tcW w:w="9899" w:type="dxa"/>
            <w:tcBorders/>
            <w:vAlign w:val="center"/>
          </w:tcPr>
          <w:p>
            <w:pPr>
              <w:pStyle w:val="TableContents"/>
              <w:bidi w:val="0"/>
              <w:spacing w:before="0" w:after="283"/>
              <w:jc w:val="both"/>
              <w:rPr/>
            </w:pPr>
            <w:r>
              <w:rPr/>
              <w:t>Without derogating from any of the above, should it be held by any competent judicial authority or any governmental authority, that the relationship between each of Consultant or Miriam and the Company is one of employer and employee; and/or in the event that the Company shall be demanded and/or obligated, to pay any of the Consultant or Miriam any amount, or give them any right, deriving from the existence of an employer-employee relationship between the Consultant or Miriam and the Company or usually paid to employees; all of the following provisions shall apply: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Retroactively, from the first date of Consultant’s engagement with the Company (the “</w:t>
            </w:r>
            <w:r>
              <w:rPr>
                <w:b/>
              </w:rPr>
              <w:t>Effective Date</w:t>
            </w:r>
            <w:r>
              <w:rPr/>
              <w:t>”) and in lieu of any remuneration paid to Consultant (including bonuses, benefits and expenses), Consultant will be deemed to have been entitled only to a gross monthly salary (including for all over-time hours, if relevant) in an amount equal to 150% of the gross monthly salary of the Company’s highest paid executive officer. Consultant will immediately return to the Company any amount paid to it beyond the above gross salary. Any entitlements as an employee (if at all) for Consultant, will be calculated on the base of the above salary;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Company shall be entitled to set off from the amounts due to Consultant in accordance with any source, the amounts which the Consultant will be liable to refund to the Company pursuant to Section 13.1 or in accordance with any other source;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Consultant shall indemnify the Company for any and all costs, liabilities and expenses it may have in connection with such demand and/or obligation, including the economic value of such right and legal expenses.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14.</w:t>
            </w:r>
          </w:p>
        </w:tc>
        <w:tc>
          <w:tcPr>
            <w:tcW w:w="9894" w:type="dxa"/>
            <w:tcBorders/>
            <w:vAlign w:val="center"/>
          </w:tcPr>
          <w:p>
            <w:pPr>
              <w:pStyle w:val="TableContents"/>
              <w:bidi w:val="0"/>
              <w:spacing w:before="0" w:after="283"/>
              <w:jc w:val="both"/>
              <w:rPr/>
            </w:pPr>
            <w:r>
              <w:rPr/>
              <w:t>Should it be held by the tax authorities, including the Israeli National Insurance Institute, that the Company is required or obligated to pay any amount or bear any cost deriving from the existence of an employer-employee relationship between the Consultant or Miriam and the Company or usually paid to employees; all of the following provisions shall apply: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Company shall be entitled to set off from the amounts due to Consultant in accordance with any source, the amounts which the Consultant will be liable to refund to the Company pursuant to Section 13.1 or in accordance with any other source;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Consultant shall indemnify the Company for any and all costs, liabilities and expenses it may have in connection with such demand and/or obligation, including the economic value of such right and legal expenses.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15.</w:t>
            </w:r>
          </w:p>
        </w:tc>
        <w:tc>
          <w:tcPr>
            <w:tcW w:w="9882" w:type="dxa"/>
            <w:tcBorders/>
            <w:vAlign w:val="center"/>
          </w:tcPr>
          <w:p>
            <w:pPr>
              <w:pStyle w:val="TableContents"/>
              <w:bidi w:val="0"/>
              <w:spacing w:before="0" w:after="283"/>
              <w:jc w:val="both"/>
              <w:rPr/>
            </w:pPr>
            <w:r>
              <w:rPr>
                <w:u w:val="single"/>
              </w:rPr>
              <w:t>Consultant Representation and Warranties</w:t>
            </w:r>
            <w:r>
              <w:rPr>
                <w:smallCaps/>
              </w:rPr>
              <w:t xml:space="preserve">. </w:t>
            </w:r>
            <w:r>
              <w:rPr/>
              <w:t>The Consultant hereby represents and warrants that the Consultant has full right and power to enter into and perform this Agreement without the consent of any third party.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16.</w:t>
            </w:r>
          </w:p>
        </w:tc>
        <w:tc>
          <w:tcPr>
            <w:tcW w:w="9897" w:type="dxa"/>
            <w:tcBorders/>
            <w:vAlign w:val="center"/>
          </w:tcPr>
          <w:p>
            <w:pPr>
              <w:pStyle w:val="TableContents"/>
              <w:bidi w:val="0"/>
              <w:spacing w:before="0" w:after="283"/>
              <w:jc w:val="both"/>
              <w:rPr/>
            </w:pPr>
            <w:r>
              <w:rPr>
                <w:u w:val="single"/>
              </w:rPr>
              <w:t>Return of Company Property</w:t>
            </w:r>
            <w:r>
              <w:rPr/>
              <w:t>. Upon termination of this Agreement or earlier as requested by the Company, each of the Consultant and Each of the Consultant and Miriam hereby will deliver to the Company any and all drawings, notes, memoranda, specifications, devices, electronic devices, formulas, and documents, together with all copies thereof, and any other material containing or disclosing any Company Work Product, Third Party Information or Proprietary Information of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and software stored on magnetic and other media that cannot be returned shall be destroyed by the Consultant or Each of the Consultant and Miriam hereby together with all copies thereof.</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17.</w:t>
            </w:r>
          </w:p>
        </w:tc>
        <w:tc>
          <w:tcPr>
            <w:tcW w:w="8584" w:type="dxa"/>
            <w:tcBorders/>
            <w:vAlign w:val="center"/>
          </w:tcPr>
          <w:p>
            <w:pPr>
              <w:pStyle w:val="TableContents"/>
              <w:bidi w:val="0"/>
              <w:spacing w:before="0" w:after="283"/>
              <w:jc w:val="both"/>
              <w:rPr/>
            </w:pPr>
            <w:r>
              <w:rPr>
                <w:u w:val="single"/>
              </w:rPr>
              <w:t>General Provisions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u w:val="single"/>
              </w:rPr>
              <w:t>Severability</w:t>
            </w:r>
            <w:r>
              <w:rPr/>
              <w:t>. In case any one or more of the provisions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u w:val="single"/>
              </w:rPr>
              <w:t>Governing Law</w:t>
            </w:r>
            <w:r>
              <w:rPr/>
              <w:t>. This Agreement shall be governed by and constructed in accordance with the laws of the State of Israel. The parties hereby expressly consent to the exclusive jurisdiction of the court located in Tel-Aviv, Israel, and all disputes or claims arising out of or related to this Agreement shall be exclusively resolved by the courts located in Tel-Aviv, Israel.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pPr>
            <w:r>
              <w:rPr>
                <w:u w:val="single"/>
              </w:rPr>
              <w:t>No Assignment</w:t>
            </w:r>
            <w:r>
              <w:rPr/>
              <w:t>. This Agreement may not be assigned by the Consultant and/or Each of the Consultant and Miriam hereby without the Company’s prior and written consent, and any such attempted assignment shall be void and of no effect.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17.4</w:t>
            </w:r>
          </w:p>
        </w:tc>
        <w:tc>
          <w:tcPr>
            <w:tcW w:w="9728" w:type="dxa"/>
            <w:tcBorders/>
            <w:vAlign w:val="center"/>
          </w:tcPr>
          <w:p>
            <w:pPr>
              <w:pStyle w:val="TableContents"/>
              <w:bidi w:val="0"/>
              <w:spacing w:before="0" w:after="283"/>
              <w:jc w:val="both"/>
              <w:rPr/>
            </w:pPr>
            <w:r>
              <w:rPr>
                <w:u w:val="single"/>
              </w:rPr>
              <w:t>Waiver</w:t>
            </w:r>
            <w:r>
              <w:rPr/>
              <w:t>. No waiver by a party of any breach of this Agreement shall be a waiver of any preceding or succeeding breach. No waiver by a party of any right under this Agreement shall be construed as a waiver of any other right.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17.5</w:t>
            </w:r>
          </w:p>
        </w:tc>
        <w:tc>
          <w:tcPr>
            <w:tcW w:w="9728" w:type="dxa"/>
            <w:tcBorders/>
            <w:vAlign w:val="center"/>
          </w:tcPr>
          <w:p>
            <w:pPr>
              <w:pStyle w:val="TableContents"/>
              <w:bidi w:val="0"/>
              <w:spacing w:before="0" w:after="283"/>
              <w:jc w:val="both"/>
              <w:rPr/>
            </w:pPr>
            <w:r>
              <w:rPr>
                <w:u w:val="single"/>
              </w:rPr>
              <w:t>Entire Agreement</w:t>
            </w:r>
            <w:r>
              <w:rPr/>
              <w:t>. This Agreement is the final, complete and exclusive agreement of the parties with respect to the subject matter hereof and supersedes and merges all prior agreements and/or discussions between the parties. No modification of or amendment to this Agreement, nor any waiver of any rights under this Agreement, will be effective unless in writing and signed by the party to be charged.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17.6</w:t>
            </w:r>
          </w:p>
        </w:tc>
        <w:tc>
          <w:tcPr>
            <w:tcW w:w="9728" w:type="dxa"/>
            <w:tcBorders/>
            <w:vAlign w:val="center"/>
          </w:tcPr>
          <w:p>
            <w:pPr>
              <w:pStyle w:val="TableContents"/>
              <w:bidi w:val="0"/>
              <w:spacing w:before="0" w:after="283"/>
              <w:jc w:val="both"/>
              <w:rPr/>
            </w:pPr>
            <w:r>
              <w:rPr>
                <w:u w:val="single"/>
              </w:rPr>
              <w:t>Notices</w:t>
            </w:r>
            <w:r>
              <w:rPr/>
              <w:t>. All communications under this Agreement shall be in writing and shall be delivered by email, hand or mailed by registered or certified mail, postage prepaid: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If to the Consultant, at 32 Eliezer Hagadol Street, Jerusalem, or at such other address or email address as the Consultant may have furnished the Company in writing;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both"/>
              <w:rPr/>
            </w:pPr>
            <w:r>
              <w:rPr/>
              <w:t>If to the Company, at 20 Mamilla Ave., Jerusalem, Israel 9414904, marked for the attention of the Chief Financial Officer, or at such other address or email address as it may have furnished the Consultant in writing.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so addressed shall be deemed to be given: if delivered by hand or by email, on the date of such delivery; if mailed by courier, on the first business day following the date of such mailing; and if mailed by registered or certified mail, on the third business day after the date of such mailing.</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17.7</w:t>
            </w:r>
          </w:p>
        </w:tc>
        <w:tc>
          <w:tcPr>
            <w:tcW w:w="9728" w:type="dxa"/>
            <w:tcBorders/>
            <w:vAlign w:val="center"/>
          </w:tcPr>
          <w:p>
            <w:pPr>
              <w:pStyle w:val="TableContents"/>
              <w:bidi w:val="0"/>
              <w:spacing w:before="0" w:after="283"/>
              <w:jc w:val="both"/>
              <w:rPr/>
            </w:pPr>
            <w:r>
              <w:rPr>
                <w:u w:val="single"/>
              </w:rPr>
              <w:t>Survival</w:t>
            </w:r>
            <w:r>
              <w:rPr/>
              <w:t>. Sections 10 (including Exhibit A), 12, 13, 14, 16 and 17 shall survive termination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17.8</w:t>
            </w:r>
          </w:p>
        </w:tc>
        <w:tc>
          <w:tcPr>
            <w:tcW w:w="9728" w:type="dxa"/>
            <w:tcBorders/>
            <w:vAlign w:val="center"/>
          </w:tcPr>
          <w:p>
            <w:pPr>
              <w:pStyle w:val="TableContents"/>
              <w:bidi w:val="0"/>
              <w:spacing w:before="0" w:after="283"/>
              <w:jc w:val="both"/>
              <w:rPr/>
            </w:pPr>
            <w:r>
              <w:rPr>
                <w:u w:val="single"/>
              </w:rPr>
              <w:t>Section Headings</w:t>
            </w:r>
            <w:r>
              <w:rPr/>
              <w:t>. The headings of the sections and subsections of this Agreement are inserted for convenience only and shall not be deemed to constitute a part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5879" w:type="dxa"/>
        <w:jc w:val="left"/>
        <w:tblInd w:w="0" w:type="dxa"/>
        <w:tblLayout w:type="fixed"/>
        <w:tblCellMar>
          <w:top w:w="0" w:type="dxa"/>
          <w:left w:w="0" w:type="dxa"/>
          <w:bottom w:w="0" w:type="dxa"/>
          <w:right w:w="0" w:type="dxa"/>
        </w:tblCellMar>
      </w:tblPr>
      <w:tblGrid>
        <w:gridCol w:w="753"/>
        <w:gridCol w:w="2611"/>
        <w:gridCol w:w="60"/>
        <w:gridCol w:w="545"/>
        <w:gridCol w:w="1910"/>
      </w:tblGrid>
      <w:tr>
        <w:trPr/>
        <w:tc>
          <w:tcPr>
            <w:tcW w:w="33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KNRY LTD.</w:t>
            </w:r>
          </w:p>
        </w:tc>
      </w:tr>
      <w:tr>
        <w:trPr/>
        <w:tc>
          <w:tcPr>
            <w:tcW w:w="753" w:type="dxa"/>
            <w:tcBorders/>
            <w:vAlign w:val="center"/>
          </w:tcPr>
          <w:p>
            <w:pPr>
              <w:pStyle w:val="TableContents"/>
              <w:bidi w:val="0"/>
              <w:spacing w:before="0" w:after="283"/>
              <w:jc w:val="left"/>
              <w:rPr>
                <w:caps w:val="false"/>
                <w:smallCaps w:val="false"/>
              </w:rPr>
            </w:pPr>
            <w:r>
              <w:rPr>
                <w:caps w:val="false"/>
                <w:smallCaps w:val="false"/>
              </w:rPr>
              <w:t> </w:t>
            </w:r>
          </w:p>
        </w:tc>
        <w:tc>
          <w:tcPr>
            <w:tcW w:w="2611"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611"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Miriam Kidron</w:t>
            </w:r>
          </w:p>
        </w:tc>
      </w:tr>
      <w:tr>
        <w:trPr/>
        <w:tc>
          <w:tcPr>
            <w:tcW w:w="7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confirm that I have read this Agreement, understood its terms and agree to be personally bound by all its terms and provisions, including without limitations, the provisions of Section 10 and 13 thereto.</w:t>
      </w:r>
    </w:p>
    <w:p>
      <w:pPr>
        <w:pStyle w:val="TextBody"/>
        <w:bidi w:val="0"/>
        <w:spacing w:before="0" w:after="0"/>
        <w:ind w:left="0" w:right="0" w:hanging="0"/>
        <w:jc w:val="both"/>
        <w:rPr>
          <w:caps w:val="false"/>
          <w:smallCaps w:val="false"/>
        </w:rPr>
      </w:pPr>
      <w:r>
        <w:rPr>
          <w:caps w:val="false"/>
          <w:smallCaps w:val="false"/>
        </w:rPr>
        <w:t> </w:t>
      </w:r>
    </w:p>
    <w:tbl>
      <w:tblPr>
        <w:tblW w:w="1535" w:type="dxa"/>
        <w:jc w:val="left"/>
        <w:tblInd w:w="0" w:type="dxa"/>
        <w:tblLayout w:type="fixed"/>
        <w:tblCellMar>
          <w:top w:w="0" w:type="dxa"/>
          <w:left w:w="0" w:type="dxa"/>
          <w:bottom w:w="28" w:type="dxa"/>
          <w:right w:w="0" w:type="dxa"/>
        </w:tblCellMar>
      </w:tblPr>
      <w:tblGrid>
        <w:gridCol w:w="1460"/>
        <w:gridCol w:w="75"/>
      </w:tblGrid>
      <w:tr>
        <w:trPr/>
        <w:tc>
          <w:tcPr>
            <w:tcW w:w="1460" w:type="dxa"/>
            <w:tcBorders>
              <w:bottom w:val="single" w:sz="12"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460" w:type="dxa"/>
            <w:tcBorders/>
            <w:tcMar>
              <w:bottom w:w="0" w:type="dxa"/>
            </w:tcMar>
            <w:vAlign w:val="center"/>
          </w:tcPr>
          <w:p>
            <w:pPr>
              <w:pStyle w:val="TableContents"/>
              <w:bidi w:val="0"/>
              <w:spacing w:before="0" w:after="283"/>
              <w:jc w:val="center"/>
              <w:rPr/>
            </w:pPr>
            <w:r>
              <w:rPr/>
              <w:t>Miriam Kidron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EXHIBIT 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PROPRIETARY INFORMATION, NON-COMPETE AND PROTECTION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INTELLECTUAL PROPERTY UNDERTAKING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“Undertaking”)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undertaking is Exhibit A to the Consulting Agreement made effective as of April 1, 2025 by and between Oramed Pharmaceuticals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KNRY Ltd.,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 for the provision of consulting services by the Consultant via Miriam Kidron (“</w:t>
      </w:r>
      <w:r>
        <w:rPr>
          <w:rFonts w:ascii="Times New Roman;Times;Serif" w:hAnsi="Times New Roman;Times;Serif"/>
          <w:b/>
          <w:i w:val="false"/>
          <w:caps w:val="false"/>
          <w:smallCaps w:val="false"/>
          <w:sz w:val="20"/>
        </w:rPr>
        <w:t>Miriam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Consultant and Miriam warrants and undertakes that during their relationship with the Company and thereafter, they shall maintain in complete confidence any matters that relate to the Company (together with its Affiliates shall be defined as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its affairs or business, including regarding the terms and conditions of the Consulting Agreement, and that they shall not harm its goodwill or reputation, and they agree to the provisions of the confidentiality, non-competition, non-solicitation and intellectual property clauses as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avoidance of any doubt, it is hereby clarified that the obligations and representations of Consultant and Miriam and the Company’s rights under this Undertaking shall apply retroactively as of the commencement of the parties’ engagement, regardless of the date of execution of this Undertaking.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Consultant and Miriam pursuant to this Undertaking derive from their status and position in the Company, along with all matters connected therewith, and the terms and conditions of the Consulting Agreement, including their compensation, have been determined in part, inter alia, in consideration of this Undertaking and constitute sufficient consideration for their obligations hereunder.</w:t>
      </w:r>
    </w:p>
    <w:p>
      <w:pPr>
        <w:pStyle w:val="TextBody"/>
        <w:bidi w:val="0"/>
        <w:spacing w:before="0" w:after="0"/>
        <w:ind w:left="0" w:right="0" w:hanging="1"/>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200"/>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445" w:type="dxa"/>
            <w:tcBorders/>
            <w:vAlign w:val="center"/>
          </w:tcPr>
          <w:p>
            <w:pPr>
              <w:pStyle w:val="TableContents"/>
              <w:bidi w:val="0"/>
              <w:spacing w:before="0" w:after="283"/>
              <w:jc w:val="both"/>
              <w:rPr>
                <w:u w:val="single"/>
              </w:rPr>
            </w:pPr>
            <w:r>
              <w:rPr>
                <w:u w:val="single"/>
              </w:rPr>
              <w:t>Confidentiality</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Each of Consultant and Miriam undertakes to maintain the Confidential Information (as defined below) of the Company during the term of his/her engagement with the Company and after the termination of such, for any reason. Each of Consultant and Miriam acknowledges that the Confidential Information constitutes a proprietary right, which the Company is entitled to protect.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Without derogating from the generality of the foregoing, Each of Consultant and Miriam hereby agrees that he/she shall not, directly or indirectly, disclose or transfer to any person or entity, at any time, either during or subsequent to his/her engagement with the Company, any trade secrets or other confidential information, whether patentable or not, of the Company, including but not limited to, any (i) processes, formulas, trade secrets, innovations, inventions, discoveries, improvements, research or development and test results, survey, specifications, data and know-how; (ii) marketing plans, business plans, strategies, forecasts, unpublished financial information, budgets, projections, product plans and pricing; (iii) personnel information, including organizational structure, salary, and qualifications of employees; (iv) customer and supplier information, including identities, product sales and purchase history or forecasts and agreements; and (v) any other information which is not known to the public (collectively, “</w:t>
            </w:r>
            <w:r>
              <w:rPr>
                <w:b/>
              </w:rPr>
              <w:t>Confidential Information</w:t>
            </w:r>
            <w:r>
              <w:rPr/>
              <w:t>”), of which Consultant and Miriam is or becomes informed or aware during his/her engagement period with the Company, whether or not developed by Consultant and/or Miriam.</w:t>
            </w:r>
          </w:p>
        </w:tc>
      </w:tr>
    </w:tbl>
    <w:p>
      <w:pPr>
        <w:pStyle w:val="TextBody"/>
        <w:bidi w:val="0"/>
        <w:spacing w:before="0" w:after="0"/>
        <w:ind w:left="2520" w:right="0" w:hanging="2160"/>
        <w:jc w:val="both"/>
        <w:rPr>
          <w:caps w:val="false"/>
          <w:smallCaps w:val="false"/>
        </w:rPr>
      </w:pPr>
      <w:r>
        <w:rPr>
          <w:caps w:val="false"/>
          <w:smallCaps w:val="false"/>
        </w:rPr>
        <w:t> </w:t>
      </w:r>
    </w:p>
    <w:p>
      <w:pPr>
        <w:pStyle w:val="TextBody"/>
        <w:bidi w:val="0"/>
        <w:spacing w:before="0" w:after="0"/>
        <w:ind w:left="2520" w:right="0" w:hanging="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8" w:type="dxa"/>
            <w:tcBorders/>
            <w:vAlign w:val="center"/>
          </w:tcPr>
          <w:p>
            <w:pPr>
              <w:pStyle w:val="TableContents"/>
              <w:bidi w:val="0"/>
              <w:spacing w:before="0" w:after="283"/>
              <w:jc w:val="both"/>
              <w:rPr/>
            </w:pPr>
            <w:r>
              <w:rPr/>
              <w:t>The general prohibition contained in Sections 1.1 and 1.2 against the unauthorized disclosure, use or dissemination of the Confidential Information shall not apply in respect of any Confidential Information that: (i) is available to the public generally in the form disclosed; (ii) becomes part of the public domain through no fault of Consultant and Miriam; (iii) is already in the lawful possession of Consultant and Miriam at the time of receipt of the Confidential Information, as can be proven by written documentation; or (iv) is compelled by applicable law to be disclosed, provided that Consultant and Miriam gives the Company prompt written notice of such requirement prior to such disclosure and provides assistance in obtaining an order protecting the Confidential Information from public disclosure.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8" w:type="dxa"/>
            <w:tcBorders/>
            <w:vAlign w:val="center"/>
          </w:tcPr>
          <w:p>
            <w:pPr>
              <w:pStyle w:val="TableContents"/>
              <w:bidi w:val="0"/>
              <w:spacing w:before="0" w:after="283"/>
              <w:jc w:val="both"/>
              <w:rPr/>
            </w:pPr>
            <w:r>
              <w:rPr/>
              <w:t>Each of Consultant and Miriam undertakes not to directly or indirectly give or transfer, directly or indirectly, to any person or entity, any material, raw material, product, part of a product, model, document or other information storage media, or any photocopied, printed or duplicated object containing any or all of the Confidential Information.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Each of Consultant and Miriam undertakes, that the Company may receive from third parties confidential or proprietary information (“</w:t>
            </w:r>
            <w:r>
              <w:rPr>
                <w:b/>
              </w:rPr>
              <w:t>Third Party Information</w:t>
            </w:r>
            <w:r>
              <w:rPr/>
              <w:t>”) subject to a duty on the Company’s part to maintain the confidentiality of such information and to use it only for certain limited purposes. During the term of the Consulting Agreement, and thereafter, each of Consultant and Miriam will hold Third Party Information in the strictest confidence and will not disclose to anyone (other than Company personnel who need to know such information in connection with their work for the Company) or use, except solely for the purpose of and in connection with his/her work for the Company, Third Party Information unless expressly authorized by the Company in writing.</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9848" w:type="dxa"/>
            <w:tcBorders/>
            <w:vAlign w:val="center"/>
          </w:tcPr>
          <w:p>
            <w:pPr>
              <w:pStyle w:val="TableContents"/>
              <w:bidi w:val="0"/>
              <w:spacing w:before="0" w:after="283"/>
              <w:jc w:val="both"/>
              <w:rPr/>
            </w:pPr>
            <w:r>
              <w:rPr/>
              <w:t>During the term of the Consulting Agreement, each of Consultant and Miriam shall not improperly use or disclose any confidential information or trade secrets, if any, of any former employer or any other person to whom Consultant and/or Miriam has an obligation of confidentiality, and Each of Consultant and Miriam did not and will not bring onto the premises of the Company any unpublished documents or any property belonging to any former employer or any other person to whom he/she has an obligation of confidentiality unless consented to in writing by that former employer or person.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9848" w:type="dxa"/>
            <w:tcBorders/>
            <w:vAlign w:val="center"/>
          </w:tcPr>
          <w:p>
            <w:pPr>
              <w:pStyle w:val="TableContents"/>
              <w:bidi w:val="0"/>
              <w:spacing w:before="0" w:after="283"/>
              <w:jc w:val="both"/>
              <w:rPr/>
            </w:pPr>
            <w:r>
              <w:rPr/>
              <w:t>In the event Each of Consultant and Miriam is in breach of any of the above obligations, they shall be liable to compensate the Company in respect of all damages or expenses incurred by the Company as a result of such breach, including trial costs and legal fees and statutory VAT, without derogating from any other relief or remedy available to the Company by virtue of any law.</w:t>
            </w:r>
          </w:p>
        </w:tc>
      </w:tr>
    </w:tbl>
    <w:p>
      <w:pPr>
        <w:pStyle w:val="TextBody"/>
        <w:bidi w:val="0"/>
        <w:spacing w:before="0" w:after="0"/>
        <w:ind w:left="2520" w:right="0" w:hanging="2160"/>
        <w:jc w:val="both"/>
        <w:rPr>
          <w:caps w:val="false"/>
          <w:smallCaps w:val="false"/>
        </w:rPr>
      </w:pPr>
      <w:r>
        <w:rPr>
          <w:caps w:val="false"/>
          <w:smallCaps w:val="false"/>
        </w:rPr>
        <w:t> </w:t>
      </w:r>
    </w:p>
    <w:p>
      <w:pPr>
        <w:pStyle w:val="TextBody"/>
        <w:bidi w:val="0"/>
        <w:spacing w:before="0" w:after="0"/>
        <w:ind w:left="2520" w:right="0" w:hanging="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2520" w:right="0" w:hanging="216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0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320" w:type="dxa"/>
            <w:tcBorders/>
            <w:vAlign w:val="center"/>
          </w:tcPr>
          <w:p>
            <w:pPr>
              <w:pStyle w:val="TableContents"/>
              <w:bidi w:val="0"/>
              <w:spacing w:before="0" w:after="283"/>
              <w:jc w:val="both"/>
              <w:rPr>
                <w:u w:val="single"/>
              </w:rPr>
            </w:pPr>
            <w:r>
              <w:rPr>
                <w:u w:val="single"/>
              </w:rPr>
              <w:t>Non-Competition/Non-Solicitation</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Consultant and Miriam undertakes that during the period of his/her engagement with the Company and for a period of (12) months following termination of his/her engagement with the Company, for any reason:</w:t>
      </w:r>
    </w:p>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He shall not, anywhere in the world, do business, as an employee, independent contractor, consultant or otherwise, and shall not directly or indirectly participate in or accept any position, proposal or job offer that may directly or indirectly compete with or harm the Company, or in the field in which the Company engages, is engaged or the Company contemplates in good faith to be materially engaged in within six (6) months thereafter, provided that the Company has taken demonstrable actions to promote such engagement or that the Company’s Board of Directors has adopted a resolution authorizing such actions prior to the date of termination(the “</w:t>
            </w:r>
            <w:r>
              <w:rPr>
                <w:b/>
              </w:rPr>
              <w:t>Competitive Occupation</w:t>
            </w:r>
            <w:r>
              <w:rPr/>
              <w:t>”); provided, however, that Consultant and Miriam may own securities of any corporation which is engaged in such business and is publicly owned and traded but in an amount not to exceed at any one time one percent (1%) of any class of stock or securities of such company, so long as she has no active role in the publicly owned and traded company as director, employee, consultant or otherwise.</w:t>
            </w:r>
          </w:p>
        </w:tc>
      </w:tr>
    </w:tbl>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t>Without derogating from the generality of the foregoing, each of Consultant and Miriam undertakes not to maintain any business relations of any type whatsoever, including a proposal to conduct business relations, directly or indirectly, with any of the Company’s customers, suppliers or agents, including customers, suppliers or agents with whom the Company conducted negotiations towards an agreement at the time of the termination of the Consulting Agreement or prior thereto.</w:t>
            </w:r>
          </w:p>
        </w:tc>
      </w:tr>
    </w:tbl>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In addition, each of Consultant and Miriam undertakes not to approach, solicit or recruit any employee of the Company or any consultant, service provider, agent, distributor, customer or supplier of the Company, to terminate, reduce or modify the scope of such person’s engagement with the Company.</w:t>
            </w:r>
          </w:p>
        </w:tc>
      </w:tr>
    </w:tbl>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 foregoing shall apply irrespective of whether the Competitive Occupation is carried out by Consultant and Miriam alone or in cooperation with others and shall apply to the participation of Consultant and Miriam in a Competitive Occupation, whether as a controlling shareholder or as an interested party.</w:t>
            </w:r>
          </w:p>
        </w:tc>
      </w:tr>
    </w:tbl>
    <w:p>
      <w:pPr>
        <w:pStyle w:val="TextBody"/>
        <w:bidi w:val="0"/>
        <w:spacing w:before="0" w:after="0"/>
        <w:ind w:left="2520" w:right="0" w:hanging="216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215"/>
        <w:gridCol w:w="4160"/>
      </w:tblGrid>
      <w:tr>
        <w:trPr/>
        <w:tc>
          <w:tcPr>
            <w:tcW w:w="215" w:type="dxa"/>
            <w:tcBorders/>
            <w:vAlign w:val="center"/>
          </w:tcPr>
          <w:p>
            <w:pPr>
              <w:pStyle w:val="TableContents"/>
              <w:bidi w:val="0"/>
              <w:spacing w:before="0" w:after="283"/>
              <w:jc w:val="left"/>
              <w:rPr/>
            </w:pPr>
            <w:r>
              <w:rPr/>
              <w:t>3.</w:t>
            </w:r>
          </w:p>
        </w:tc>
        <w:tc>
          <w:tcPr>
            <w:tcW w:w="4160" w:type="dxa"/>
            <w:tcBorders/>
            <w:vAlign w:val="center"/>
          </w:tcPr>
          <w:p>
            <w:pPr>
              <w:pStyle w:val="TableContents"/>
              <w:bidi w:val="0"/>
              <w:spacing w:before="0" w:after="283"/>
              <w:jc w:val="both"/>
              <w:rPr>
                <w:u w:val="single"/>
              </w:rPr>
            </w:pPr>
            <w:r>
              <w:rPr>
                <w:u w:val="single"/>
              </w:rPr>
              <w:t>Intellectual Property, Copyright and Patents</w:t>
            </w:r>
          </w:p>
        </w:tc>
      </w:tr>
    </w:tbl>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Each of Consultant and Miriam hereby acknowledges and agrees that the Company exclusively owns and shall own all right, title and interest in and to any work, products, processes, materials, inventions, texts, algorithms, designs, sketches, ideas or discoveries, all derivatives, enhancements or improvements thereof and any and all Intellectual Property Rights associated therewith, created, conceived made or discovered by Consultant and/or Miriam (whether solely or jointly with others) during the term of the Consulting Agreement; or in connection therewith; or in connection with the Company, its business (actual or contemplated), products, technology or know how (“</w:t>
            </w:r>
            <w:r>
              <w:rPr>
                <w:b/>
              </w:rPr>
              <w:t>Company IPR</w:t>
            </w:r>
            <w:r>
              <w:rPr/>
              <w:t>”). “</w:t>
            </w:r>
            <w:r>
              <w:rPr>
                <w:b/>
              </w:rPr>
              <w:t xml:space="preserve">Intellectual Property Rights” </w:t>
            </w:r>
            <w:r>
              <w:rPr/>
              <w:t>means all worldwide (a) patents, patent applications, designs and patent rights; (b) rights associated with works of authorship, including, but not limited to, copyrights, copyrights applications, copyrights restrictions, mask work rights, mask work applications and mask work registrations; (c) rights relating to the protection of trade secrets and confidential information; (d) moral rights, trademarks, service marks, logos, domain names, trade dress and goodwill; (e) rights analogous to those set forth herein and any other proprietary rights relating to intangible property including ideas; and (f) divisions, continuations, renewals, reissues and extensions of the foregoing (as applicable) now existing or hereafter filed, issued, or acquired.</w:t>
            </w:r>
          </w:p>
        </w:tc>
      </w:tr>
    </w:tbl>
    <w:p>
      <w:pPr>
        <w:pStyle w:val="TextBody"/>
        <w:bidi w:val="0"/>
        <w:spacing w:before="0" w:after="0"/>
        <w:ind w:left="2520" w:right="0" w:hanging="2160"/>
        <w:jc w:val="both"/>
        <w:rPr>
          <w:caps w:val="false"/>
          <w:smallCaps w:val="false"/>
        </w:rPr>
      </w:pPr>
      <w:r>
        <w:rPr>
          <w:caps w:val="false"/>
          <w:smallCaps w:val="false"/>
        </w:rPr>
        <w:t> </w:t>
      </w:r>
    </w:p>
    <w:p>
      <w:pPr>
        <w:pStyle w:val="TextBody"/>
        <w:bidi w:val="0"/>
        <w:spacing w:before="0" w:after="0"/>
        <w:ind w:left="2520" w:right="0" w:hanging="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Each of Consultant and Miriam acknowledges and agrees that all Company IPR and all modifications, derivatives and enhancements thereof belong to, and shall be the sole property of, the Company (or its designees) upon creation thereof. Each of Consultant and Miriam hereby irrevocably assigns to the Company or its designee and shall assign all right, title and interest Consultant and/or Miriam may have or may acquire in and to Company IPR upon its creation. Each of Consultant and Miriam acknowledges and agrees that no rights relating to any Company IPR are reserved Consultant and Miriam.</w:t>
            </w:r>
          </w:p>
        </w:tc>
      </w:tr>
    </w:tbl>
    <w:p>
      <w:pPr>
        <w:pStyle w:val="TextBody"/>
        <w:bidi w:val="0"/>
        <w:spacing w:before="0" w:after="0"/>
        <w:ind w:left="2520" w:right="0" w:hanging="216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Consultant and Miriam will assist the Company, upon Company’s first request, to obtain, and from time to time enforce, any Company IPR worldwide, including without limitation, executing, verifying and delivering such documents and performing such other acts as the Company may reasonably request for use in applying for, obtaining, perfecting, evidencing, sustaining and enforcing such Company IPR. Such obligation shall remain in effect beyond the termination of the Consulting Agreement, all for no additional consideration, provided that each of Consultant and Miriam shall not be required to bear any expenses as a result of such assignment. In the event the Company is unable for any reason, after reasonable effort, to secure the signature of Consultant or Miriam on any document required, each of Consultant and Miriam hereby irrevocably designates and appoints the Company and its duly authorized officers and agents as its agent and attorney in fact to act for and on its behalf to further the above purposes. </w:t>
      </w:r>
    </w:p>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Each of Consultant and Miriam irrevocably confirms that the consideration explicitly set forth in the Consulting Agreement is inclusive of any and all rights for compensation that may arise in connection with the Company IPR under applicable law and each of Consultant and Miriam irrevocably waives any legal right he/she may have in connection with the Company IPR, including without limitation any right, moral rights or right to claim royalties or any other additional consideration from the Company with regard to the assigned Company IPR, including without limitation, in respect of Section 134 of the Patent Law 5727-1967 or other applicable laws. The foregoing waiver relates to any claims or demands whatsoever, whether in the present, past or future, and whether under contract or other legal or equitable theory.</w:t>
            </w:r>
          </w:p>
        </w:tc>
      </w:tr>
    </w:tbl>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t>Each of Consultant and Miriam represents and warrants that upon execution hereof, he/she has not created and does not have any right, title or interest in and to any Intellectual Property Rights related, similar to and/or required for Company’s business, products or Intellectual Property Rights (“</w:t>
            </w:r>
            <w:r>
              <w:rPr>
                <w:b/>
              </w:rPr>
              <w:t>Prior Inventions</w:t>
            </w:r>
            <w:r>
              <w:rPr/>
              <w:t>”). Each of Consultant and Miriam undertakes not to incorporate any Prior Inventions or third party’s Intellectual Property Rights (including of a former employer) in any Company IPR.</w:t>
            </w:r>
          </w:p>
        </w:tc>
      </w:tr>
    </w:tbl>
    <w:p>
      <w:pPr>
        <w:pStyle w:val="TextBody"/>
        <w:bidi w:val="0"/>
        <w:spacing w:before="0" w:after="0"/>
        <w:ind w:left="2520" w:right="0" w:hanging="2160"/>
        <w:jc w:val="both"/>
        <w:rPr>
          <w:caps w:val="false"/>
          <w:smallCaps w:val="false"/>
        </w:rPr>
      </w:pPr>
      <w:r>
        <w:rPr>
          <w:caps w:val="false"/>
          <w:smallCaps w:val="false"/>
        </w:rPr>
        <w:t> </w:t>
      </w:r>
    </w:p>
    <w:p>
      <w:pPr>
        <w:pStyle w:val="TextBody"/>
        <w:bidi w:val="0"/>
        <w:spacing w:before="0" w:after="0"/>
        <w:ind w:left="2520" w:right="0" w:hanging="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t>Each of Consultant and Miriam undertakes to immediately inform and deliver IN WRITING to the Company, written notice of any Company IPR conceived or invented by him or personnel of the Company or its successors who are subordinate to him, immediately upon the discovery thereof.</w:t>
            </w:r>
          </w:p>
        </w:tc>
      </w:tr>
    </w:tbl>
    <w:p>
      <w:pPr>
        <w:pStyle w:val="TextBody"/>
        <w:bidi w:val="0"/>
        <w:spacing w:before="0" w:after="0"/>
        <w:ind w:left="2520" w:right="0" w:hanging="21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8" w:type="dxa"/>
            <w:tcBorders/>
            <w:vAlign w:val="center"/>
          </w:tcPr>
          <w:p>
            <w:pPr>
              <w:pStyle w:val="TableContents"/>
              <w:bidi w:val="0"/>
              <w:spacing w:before="0" w:after="283"/>
              <w:jc w:val="both"/>
              <w:rPr/>
            </w:pPr>
            <w:r>
              <w:rPr/>
              <w:t>The obligations of Consultant and Miriam pursuant to this Section 3 shall survive the termination of the Consulting Agreement with the Company or its successors and assigns with respect to inventions conceived by them during the term of the Consulting Agreement or as a result thereof.</w:t>
            </w:r>
          </w:p>
        </w:tc>
      </w:tr>
    </w:tbl>
    <w:p>
      <w:pPr>
        <w:pStyle w:val="TextBody"/>
        <w:bidi w:val="0"/>
        <w:spacing w:before="0" w:after="0"/>
        <w:ind w:left="709" w:right="0" w:hanging="7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283"/>
              <w:jc w:val="both"/>
              <w:rPr/>
            </w:pPr>
            <w:r>
              <w:rPr/>
              <w:t>Each of Consultant and Miriam acknowledges that the restricted period of time and geographical area as specified hereunder are reasonable, in view of his/her position and the nature of the business in which the Company is engaged, the knowledge of Consultant and Miriam of the Company’s business and the compensation he/she receives. Notwithstanding anything contained herein to the contrary, if the period of time or the geographical area specified herein should be determined to be unreasonable in any judicial proceeding, then the period of time and area of the restriction shall be reduced so that this Undertaking may be enforced in such area and during such period of time as shall be determined to be reasonable by such judicial proceeding. Each of Consultant and Miriam acknowledges that the compensation and benefits granted to him by the Company under the Consulting Agreement were determined, inter alia, in consideration for his/her obligations under this Undertaking.</w:t>
            </w:r>
          </w:p>
        </w:tc>
      </w:tr>
    </w:tbl>
    <w:p>
      <w:pPr>
        <w:pStyle w:val="TextBody"/>
        <w:bidi w:val="0"/>
        <w:spacing w:before="0" w:after="0"/>
        <w:ind w:left="709" w:right="0" w:hanging="7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5.</w:t>
            </w:r>
          </w:p>
        </w:tc>
        <w:tc>
          <w:tcPr>
            <w:tcW w:w="10018" w:type="dxa"/>
            <w:tcBorders/>
            <w:vAlign w:val="center"/>
          </w:tcPr>
          <w:p>
            <w:pPr>
              <w:pStyle w:val="TableContents"/>
              <w:bidi w:val="0"/>
              <w:spacing w:before="0" w:after="283"/>
              <w:jc w:val="both"/>
              <w:rPr/>
            </w:pPr>
            <w:r>
              <w:rPr/>
              <w:t>This Undertaking, the rights of the Company hereunder, and the obligations of each of Consultant and Miriam hereunder, will be binding upon and inure to the benefit of their respective successors, assigns, heirs, executors, administrators and legal representatives. The Company may assign any of its rights under this Undertaking. Each of Consultant and Miriam may not assign, whether voluntarily or by operation of law, any of its obligations under this Undertaking, except with the prior written consent of the Company.</w:t>
            </w:r>
          </w:p>
        </w:tc>
      </w:tr>
    </w:tbl>
    <w:p>
      <w:pPr>
        <w:pStyle w:val="TextBody"/>
        <w:bidi w:val="0"/>
        <w:spacing w:before="0" w:after="0"/>
        <w:ind w:left="709" w:right="0" w:hanging="7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6.</w:t>
            </w:r>
          </w:p>
        </w:tc>
        <w:tc>
          <w:tcPr>
            <w:tcW w:w="10013" w:type="dxa"/>
            <w:tcBorders/>
            <w:vAlign w:val="center"/>
          </w:tcPr>
          <w:p>
            <w:pPr>
              <w:pStyle w:val="TableContents"/>
              <w:bidi w:val="0"/>
              <w:spacing w:before="0" w:after="283"/>
              <w:jc w:val="both"/>
              <w:rPr/>
            </w:pPr>
            <w:r>
              <w:rPr/>
              <w:t>This Undertaking and all rights and duties of the parties hereunder shall be exclusively governed by and interpreted in accordance with the laws of the State of Israel. The competent courts of the State of Israel, Tel Aviv Jaffa district, shall have the exclusive jurisdiction over the parties with regard to this Undertaking, its execution, interpretation and performance.</w:t>
            </w:r>
          </w:p>
        </w:tc>
      </w:tr>
    </w:tbl>
    <w:p>
      <w:pPr>
        <w:pStyle w:val="TextBody"/>
        <w:bidi w:val="0"/>
        <w:spacing w:before="0" w:after="0"/>
        <w:ind w:left="709" w:right="0" w:hanging="7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7.</w:t>
            </w:r>
          </w:p>
        </w:tc>
        <w:tc>
          <w:tcPr>
            <w:tcW w:w="9984" w:type="dxa"/>
            <w:tcBorders/>
            <w:vAlign w:val="center"/>
          </w:tcPr>
          <w:p>
            <w:pPr>
              <w:pStyle w:val="TableContents"/>
              <w:bidi w:val="0"/>
              <w:spacing w:before="0" w:after="283"/>
              <w:jc w:val="both"/>
              <w:rPr/>
            </w:pPr>
            <w:r>
              <w:rPr/>
              <w:t>Capitalized terms used herein and not otherwise defined shall have the respective meanings ascribed to them in the Consulting Agreement.</w:t>
            </w:r>
          </w:p>
        </w:tc>
      </w:tr>
    </w:tbl>
    <w:p>
      <w:pPr>
        <w:pStyle w:val="TextBody"/>
        <w:bidi w:val="0"/>
        <w:spacing w:before="0" w:after="0"/>
        <w:ind w:left="709" w:right="0" w:hanging="71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8.</w:t>
            </w:r>
          </w:p>
        </w:tc>
        <w:tc>
          <w:tcPr>
            <w:tcW w:w="9999" w:type="dxa"/>
            <w:tcBorders/>
            <w:vAlign w:val="center"/>
          </w:tcPr>
          <w:p>
            <w:pPr>
              <w:pStyle w:val="TableContents"/>
              <w:bidi w:val="0"/>
              <w:spacing w:before="0" w:after="283"/>
              <w:jc w:val="both"/>
              <w:rPr/>
            </w:pPr>
            <w:r>
              <w:rPr/>
              <w:t>This Undertaking is the entire agreement between the parties with respect to the subject matter hereof, and supersedes all prior understandings, agreements and discussions between them, oral or written.</w:t>
            </w:r>
          </w:p>
        </w:tc>
      </w:tr>
    </w:tbl>
    <w:p>
      <w:pPr>
        <w:pStyle w:val="TextBody"/>
        <w:bidi w:val="0"/>
        <w:spacing w:before="0" w:after="0"/>
        <w:ind w:left="709" w:right="0" w:hanging="710"/>
        <w:jc w:val="both"/>
        <w:rPr>
          <w:caps w:val="false"/>
          <w:smallCaps w:val="false"/>
        </w:rPr>
      </w:pPr>
      <w:r>
        <w:rPr>
          <w:caps w:val="false"/>
          <w:smallCaps w:val="false"/>
        </w:rPr>
        <w:t> </w:t>
      </w:r>
    </w:p>
    <w:p>
      <w:pPr>
        <w:pStyle w:val="TextBody"/>
        <w:bidi w:val="0"/>
        <w:spacing w:before="0" w:after="0"/>
        <w:ind w:left="709" w:right="0" w:hanging="71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09" w:right="0" w:hanging="7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HAVE READ THIS UNDERTAKING CAREFULLY AND UNDERSTAND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w:t>
      </w:r>
    </w:p>
    <w:p>
      <w:pPr>
        <w:pStyle w:val="TextBody"/>
        <w:bidi w:val="0"/>
        <w:spacing w:before="0" w:after="0"/>
        <w:ind w:left="0" w:right="0" w:hanging="0"/>
        <w:jc w:val="left"/>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560"/>
        <w:gridCol w:w="1895"/>
        <w:gridCol w:w="60"/>
        <w:gridCol w:w="182"/>
        <w:gridCol w:w="228"/>
      </w:tblGrid>
      <w:tr>
        <w:trPr/>
        <w:tc>
          <w:tcPr>
            <w:tcW w:w="24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KNRY </w:t>
            </w:r>
            <w:r>
              <w:rPr>
                <w:rFonts w:ascii="Times New Roman;Times;Serif" w:hAnsi="Times New Roman;Times;Serif"/>
                <w:b/>
                <w:i w:val="false"/>
                <w:caps w:val="false"/>
                <w:smallCaps w:val="false"/>
                <w:sz w:val="20"/>
              </w:rPr>
              <w:t>LTD.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89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Miriam Kidron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Scientific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10"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330" w:type="dxa"/>
        <w:jc w:val="left"/>
        <w:tblInd w:w="0" w:type="dxa"/>
        <w:tblLayout w:type="fixed"/>
        <w:tblCellMar>
          <w:top w:w="0" w:type="dxa"/>
          <w:left w:w="0" w:type="dxa"/>
          <w:bottom w:w="0" w:type="dxa"/>
          <w:right w:w="0" w:type="dxa"/>
        </w:tblCellMar>
      </w:tblPr>
      <w:tblGrid>
        <w:gridCol w:w="75"/>
        <w:gridCol w:w="60"/>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41" w:name="ea028261801ex10-10.htm"/>
      <w:bookmarkStart w:id="42" w:name="ksea028261801ex1010"/>
      <w:bookmarkEnd w:id="41"/>
      <w:bookmarkEnd w:id="42"/>
      <w:r>
        <w:rPr>
          <w:rFonts w:ascii="Times New Roman;Times;Serif" w:hAnsi="Times New Roman;Times;Serif"/>
          <w:b/>
          <w:i w:val="false"/>
          <w:caps w:val="false"/>
          <w:smallCaps w:val="false"/>
          <w:sz w:val="20"/>
        </w:rPr>
        <w:t>Exhibit 10.10</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Employment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entered into as of this 31 day of December 2025 and is effective as of January 1, 2026, by and between </w:t>
      </w:r>
      <w:r>
        <w:rPr>
          <w:rFonts w:ascii="Times New Roman;Times;Serif" w:hAnsi="Times New Roman;Times;Serif"/>
          <w:b/>
          <w:i w:val="false"/>
          <w:caps w:val="false"/>
          <w:smallCaps w:val="false"/>
          <w:sz w:val="20"/>
        </w:rPr>
        <w:t>Miriam Kidron</w:t>
      </w:r>
      <w:r>
        <w:rPr>
          <w:rFonts w:ascii="Times New Roman;Times;Serif" w:hAnsi="Times New Roman;Times;Serif"/>
          <w:b w:val="false"/>
          <w:i w:val="false"/>
          <w:caps w:val="false"/>
          <w:smallCaps w:val="false"/>
          <w:sz w:val="20"/>
        </w:rPr>
        <w:t>, an individual residing in Petach Tikva,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Mamilla 20,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April 1, 2025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2.1(a)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xml:space="preserve"> the following paragraph is hereby added:</w:t>
      </w:r>
    </w:p>
    <w:p>
      <w:pPr>
        <w:pStyle w:val="TextBody"/>
        <w:bidi w:val="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the Executive shall be entitled to a gross monthly salary of NIS 55,114 (the “</w:t>
      </w:r>
      <w:r>
        <w:rPr>
          <w:rFonts w:ascii="Times New Roman;Times;Serif" w:hAnsi="Times New Roman;Times;Serif"/>
          <w:b/>
          <w:i w:val="false"/>
          <w:caps w:val="false"/>
          <w:smallCaps w:val="false"/>
          <w:sz w:val="20"/>
        </w:rPr>
        <w:t>Salary</w:t>
      </w:r>
      <w:r>
        <w:rPr>
          <w:rFonts w:ascii="Times New Roman;Times;Serif" w:hAnsi="Times New Roman;Times;Serif"/>
          <w:b w:val="false"/>
          <w:i w:val="false"/>
          <w:caps w:val="false"/>
          <w:smallCaps w:val="false"/>
          <w:sz w:val="20"/>
        </w:rPr>
        <w:t>”).</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Amendment and the provisions of the Employment Agreement, the provisions of this Amendment shall prevail. Without limiting the generality of the foregoing, the term “Agreement” as used in the Employment Agreement shall be deemed to be the Employment Agreement as amended by this Amendment.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to Employment Agreement as of December 31, 2025.</w:t>
      </w:r>
    </w:p>
    <w:p>
      <w:pPr>
        <w:pStyle w:val="TextBody"/>
        <w:bidi w:val="0"/>
        <w:ind w:left="0" w:right="0" w:firstLine="72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Miriam Kidron</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43" w:name="ea028261801ex10-40.htm"/>
      <w:bookmarkStart w:id="44" w:name="ksea028261801ex1040"/>
      <w:bookmarkEnd w:id="43"/>
      <w:bookmarkEnd w:id="44"/>
      <w:r>
        <w:rPr>
          <w:b/>
        </w:rPr>
        <w:t>Exhibit 10.40</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[__].1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ENGLISH SUMMARY OF LOAN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 Oramed Ltd. and Tova Hochma Im Nachala Ltd. (as Lenders)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Project Hafasga – Telefoniot HaHadasha Ltd. (as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(Originally Executed in Hebrew)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Note Regarding Foreign Language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constitutes an English-language summary of a Loan Agreement (the “Agreement”) originally executed in Hebrew on March 24, 2025. This summary is provided pursuant to Rule 306 of SEC Regulation S-T (17 C.F.R. § 232.306), which requires that any document filed in a foreign language be accompanied by either a complete English translation or an English-language summary of the material terms. The Registrant has elected to provide this summary in lieu of a complete translation. The original Hebrew-language Agreement is filed as a sub-exhibit hereto. In the event of any inconsistency between this summary and the original Hebrew text, the Hebrew text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Parties to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Lenders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49"/>
        <w:gridCol w:w="60"/>
        <w:gridCol w:w="7996"/>
      </w:tblGrid>
      <w:tr>
        <w:trPr/>
        <w:tc>
          <w:tcPr>
            <w:tcW w:w="2149" w:type="dxa"/>
            <w:tcBorders>
              <w:bottom w:val="single" w:sz="12" w:space="0" w:color="000000"/>
            </w:tcBorders>
            <w:vAlign w:val="center"/>
          </w:tcPr>
          <w:p>
            <w:pPr>
              <w:pStyle w:val="TableContents"/>
              <w:bidi w:val="0"/>
              <w:spacing w:before="0" w:after="283"/>
              <w:jc w:val="left"/>
              <w:rPr>
                <w:b/>
                <w:sz w:val="20"/>
              </w:rPr>
            </w:pPr>
            <w:r>
              <w:rPr>
                <w:b/>
                <w:sz w:val="20"/>
              </w:rPr>
              <w:t>Lender</w:t>
            </w:r>
          </w:p>
        </w:tc>
        <w:tc>
          <w:tcPr>
            <w:tcW w:w="60" w:type="dxa"/>
            <w:tcBorders/>
            <w:tcMar>
              <w:bottom w:w="0" w:type="dxa"/>
            </w:tcMar>
            <w:vAlign w:val="center"/>
          </w:tcPr>
          <w:p>
            <w:pPr>
              <w:pStyle w:val="TableContents"/>
              <w:bidi w:val="0"/>
              <w:spacing w:before="0" w:after="283"/>
              <w:jc w:val="left"/>
              <w:rPr/>
            </w:pPr>
            <w:r>
              <w:rPr/>
              <w:t> </w:t>
            </w:r>
          </w:p>
        </w:tc>
        <w:tc>
          <w:tcPr>
            <w:tcW w:w="7996" w:type="dxa"/>
            <w:tcBorders>
              <w:bottom w:val="single" w:sz="12" w:space="0" w:color="000000"/>
            </w:tcBorders>
            <w:vAlign w:val="center"/>
          </w:tcPr>
          <w:p>
            <w:pPr>
              <w:pStyle w:val="TableContents"/>
              <w:bidi w:val="0"/>
              <w:spacing w:before="0" w:after="283"/>
              <w:jc w:val="left"/>
              <w:rPr>
                <w:b/>
                <w:sz w:val="20"/>
              </w:rPr>
            </w:pPr>
            <w:r>
              <w:rPr>
                <w:b/>
                <w:sz w:val="20"/>
              </w:rPr>
              <w:t>Details</w:t>
            </w:r>
          </w:p>
        </w:tc>
      </w:tr>
      <w:tr>
        <w:trPr/>
        <w:tc>
          <w:tcPr>
            <w:tcW w:w="2149" w:type="dxa"/>
            <w:tcBorders/>
            <w:tcMar>
              <w:bottom w:w="0" w:type="dxa"/>
            </w:tcMar>
            <w:vAlign w:val="center"/>
          </w:tcPr>
          <w:p>
            <w:pPr>
              <w:pStyle w:val="TableContents"/>
              <w:bidi w:val="0"/>
              <w:spacing w:before="0" w:after="283"/>
              <w:jc w:val="left"/>
              <w:rPr>
                <w:b/>
                <w:sz w:val="20"/>
              </w:rPr>
            </w:pPr>
            <w:r>
              <w:rPr>
                <w:b/>
                <w:sz w:val="20"/>
              </w:rPr>
              <w:t>Oramed Ltd.</w:t>
            </w:r>
          </w:p>
        </w:tc>
        <w:tc>
          <w:tcPr>
            <w:tcW w:w="60" w:type="dxa"/>
            <w:tcBorders/>
            <w:tcMar>
              <w:bottom w:w="0" w:type="dxa"/>
            </w:tcMar>
            <w:vAlign w:val="center"/>
          </w:tcPr>
          <w:p>
            <w:pPr>
              <w:pStyle w:val="TableContents"/>
              <w:bidi w:val="0"/>
              <w:spacing w:before="0" w:after="283"/>
              <w:jc w:val="left"/>
              <w:rPr/>
            </w:pPr>
            <w:r>
              <w:rPr/>
              <w:t> </w:t>
            </w:r>
          </w:p>
        </w:tc>
        <w:tc>
          <w:tcPr>
            <w:tcW w:w="7996" w:type="dxa"/>
            <w:tcBorders/>
            <w:tcMar>
              <w:bottom w:w="0" w:type="dxa"/>
            </w:tcMar>
            <w:vAlign w:val="center"/>
          </w:tcPr>
          <w:p>
            <w:pPr>
              <w:pStyle w:val="TableContents"/>
              <w:bidi w:val="0"/>
              <w:spacing w:before="0" w:after="283"/>
              <w:jc w:val="both"/>
              <w:rPr>
                <w:sz w:val="20"/>
              </w:rPr>
            </w:pPr>
            <w:r>
              <w:rPr>
                <w:sz w:val="20"/>
              </w:rPr>
              <w:t>Israeli Company No. 513976712 20 Mamilla Street, Jerusalem Signed by: Nadav Kidron and Nadav Kadron, authorized signatories</w:t>
            </w:r>
          </w:p>
        </w:tc>
      </w:tr>
      <w:tr>
        <w:trPr/>
        <w:tc>
          <w:tcPr>
            <w:tcW w:w="214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6" w:type="dxa"/>
            <w:tcBorders/>
            <w:tcMar>
              <w:bottom w:w="0" w:type="dxa"/>
            </w:tcMar>
            <w:vAlign w:val="center"/>
          </w:tcPr>
          <w:p>
            <w:pPr>
              <w:pStyle w:val="TableContents"/>
              <w:bidi w:val="0"/>
              <w:spacing w:before="0" w:after="283"/>
              <w:jc w:val="both"/>
              <w:rPr/>
            </w:pPr>
            <w:r>
              <w:rPr/>
              <w:t> </w:t>
            </w:r>
          </w:p>
        </w:tc>
      </w:tr>
      <w:tr>
        <w:trPr/>
        <w:tc>
          <w:tcPr>
            <w:tcW w:w="2149" w:type="dxa"/>
            <w:tcBorders/>
            <w:tcMar>
              <w:bottom w:w="0" w:type="dxa"/>
            </w:tcMar>
            <w:vAlign w:val="center"/>
          </w:tcPr>
          <w:p>
            <w:pPr>
              <w:pStyle w:val="TableContents"/>
              <w:bidi w:val="0"/>
              <w:spacing w:before="0" w:after="283"/>
              <w:jc w:val="left"/>
              <w:rPr>
                <w:b/>
                <w:sz w:val="20"/>
              </w:rPr>
            </w:pPr>
            <w:r>
              <w:rPr>
                <w:b/>
                <w:sz w:val="20"/>
              </w:rPr>
              <w:t>Tova Hochma Im Nachala Ltd.</w:t>
            </w:r>
          </w:p>
        </w:tc>
        <w:tc>
          <w:tcPr>
            <w:tcW w:w="60" w:type="dxa"/>
            <w:tcBorders/>
            <w:tcMar>
              <w:bottom w:w="0" w:type="dxa"/>
            </w:tcMar>
            <w:vAlign w:val="center"/>
          </w:tcPr>
          <w:p>
            <w:pPr>
              <w:pStyle w:val="TableContents"/>
              <w:bidi w:val="0"/>
              <w:spacing w:before="0" w:after="283"/>
              <w:jc w:val="left"/>
              <w:rPr/>
            </w:pPr>
            <w:r>
              <w:rPr/>
              <w:t> </w:t>
            </w:r>
          </w:p>
        </w:tc>
        <w:tc>
          <w:tcPr>
            <w:tcW w:w="7996" w:type="dxa"/>
            <w:tcBorders/>
            <w:tcMar>
              <w:bottom w:w="0" w:type="dxa"/>
            </w:tcMar>
            <w:vAlign w:val="center"/>
          </w:tcPr>
          <w:p>
            <w:pPr>
              <w:pStyle w:val="TableContents"/>
              <w:bidi w:val="0"/>
              <w:spacing w:before="0" w:after="283"/>
              <w:jc w:val="both"/>
              <w:rPr>
                <w:sz w:val="20"/>
              </w:rPr>
            </w:pPr>
            <w:r>
              <w:rPr>
                <w:sz w:val="20"/>
              </w:rPr>
              <w:t>Israeli Company No. 516473402 7 Hovevei Zion Street, Jerusalem Signed by: Emmanuel Ansbecker,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Borrower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34"/>
        <w:gridCol w:w="60"/>
        <w:gridCol w:w="7311"/>
      </w:tblGrid>
      <w:tr>
        <w:trPr/>
        <w:tc>
          <w:tcPr>
            <w:tcW w:w="2834"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Borrower</w:t>
            </w:r>
          </w:p>
        </w:tc>
        <w:tc>
          <w:tcPr>
            <w:tcW w:w="60" w:type="dxa"/>
            <w:tcBorders/>
            <w:tcMar>
              <w:bottom w:w="0" w:type="dxa"/>
            </w:tcMar>
            <w:vAlign w:val="center"/>
          </w:tcPr>
          <w:p>
            <w:pPr>
              <w:pStyle w:val="TableContents"/>
              <w:bidi w:val="0"/>
              <w:spacing w:before="0" w:after="283"/>
              <w:jc w:val="left"/>
              <w:rPr/>
            </w:pPr>
            <w:r>
              <w:rPr/>
              <w:t> </w:t>
            </w:r>
          </w:p>
        </w:tc>
        <w:tc>
          <w:tcPr>
            <w:tcW w:w="7311"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Details</w:t>
            </w:r>
          </w:p>
        </w:tc>
      </w:tr>
      <w:tr>
        <w:trPr/>
        <w:tc>
          <w:tcPr>
            <w:tcW w:w="2834" w:type="dxa"/>
            <w:tcBorders/>
            <w:tcMar>
              <w:bottom w:w="0" w:type="dxa"/>
            </w:tcMar>
            <w:vAlign w:val="center"/>
          </w:tcPr>
          <w:p>
            <w:pPr>
              <w:pStyle w:val="TableContents"/>
              <w:bidi w:val="0"/>
              <w:spacing w:before="0" w:after="283"/>
              <w:jc w:val="left"/>
              <w:rPr>
                <w:b/>
                <w:sz w:val="20"/>
              </w:rPr>
            </w:pPr>
            <w:r>
              <w:rPr>
                <w:b/>
                <w:sz w:val="20"/>
              </w:rPr>
              <w:t>Project Hafasga – Telefoniot HaHadasha Ltd.</w:t>
            </w:r>
          </w:p>
        </w:tc>
        <w:tc>
          <w:tcPr>
            <w:tcW w:w="60" w:type="dxa"/>
            <w:tcBorders/>
            <w:tcMar>
              <w:bottom w:w="0" w:type="dxa"/>
            </w:tcMar>
            <w:vAlign w:val="center"/>
          </w:tcPr>
          <w:p>
            <w:pPr>
              <w:pStyle w:val="TableContents"/>
              <w:bidi w:val="0"/>
              <w:spacing w:before="0" w:after="283"/>
              <w:jc w:val="left"/>
              <w:rPr/>
            </w:pPr>
            <w:r>
              <w:rPr/>
              <w:t> </w:t>
            </w:r>
          </w:p>
        </w:tc>
        <w:tc>
          <w:tcPr>
            <w:tcW w:w="7311" w:type="dxa"/>
            <w:tcBorders/>
            <w:tcMar>
              <w:bottom w:w="0" w:type="dxa"/>
            </w:tcMar>
            <w:vAlign w:val="center"/>
          </w:tcPr>
          <w:p>
            <w:pPr>
              <w:pStyle w:val="TableContents"/>
              <w:bidi w:val="0"/>
              <w:spacing w:before="0" w:after="283"/>
              <w:jc w:val="both"/>
              <w:rPr>
                <w:sz w:val="20"/>
              </w:rPr>
            </w:pPr>
            <w:r>
              <w:rPr>
                <w:sz w:val="20"/>
              </w:rPr>
              <w:t>Israeli Company No. 516154549 4 Yitzhak (Ziko) Garziani Street, Tel Aviv Signed by: Director Aupkim Pines and signatory Shira Riyad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Principal Financial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81"/>
        <w:gridCol w:w="60"/>
        <w:gridCol w:w="7864"/>
      </w:tblGrid>
      <w:tr>
        <w:trPr/>
        <w:tc>
          <w:tcPr>
            <w:tcW w:w="2281" w:type="dxa"/>
            <w:tcBorders>
              <w:bottom w:val="single" w:sz="12" w:space="0" w:color="000000"/>
            </w:tcBorders>
            <w:vAlign w:val="center"/>
          </w:tcPr>
          <w:p>
            <w:pPr>
              <w:pStyle w:val="TableContents"/>
              <w:bidi w:val="0"/>
              <w:spacing w:before="0" w:after="283"/>
              <w:jc w:val="left"/>
              <w:rPr>
                <w:b/>
                <w:sz w:val="20"/>
              </w:rPr>
            </w:pPr>
            <w:r>
              <w:rPr>
                <w:b/>
                <w:sz w:val="20"/>
              </w:rPr>
              <w:t>Term</w:t>
            </w:r>
          </w:p>
        </w:tc>
        <w:tc>
          <w:tcPr>
            <w:tcW w:w="60" w:type="dxa"/>
            <w:tcBorders/>
            <w:tcMar>
              <w:bottom w:w="0" w:type="dxa"/>
            </w:tcMar>
            <w:vAlign w:val="center"/>
          </w:tcPr>
          <w:p>
            <w:pPr>
              <w:pStyle w:val="TableContents"/>
              <w:bidi w:val="0"/>
              <w:spacing w:before="0" w:after="283"/>
              <w:jc w:val="left"/>
              <w:rPr/>
            </w:pPr>
            <w:r>
              <w:rPr/>
              <w:t> </w:t>
            </w:r>
          </w:p>
        </w:tc>
        <w:tc>
          <w:tcPr>
            <w:tcW w:w="7864" w:type="dxa"/>
            <w:tcBorders>
              <w:bottom w:val="single" w:sz="12" w:space="0" w:color="000000"/>
            </w:tcBorders>
            <w:vAlign w:val="center"/>
          </w:tcPr>
          <w:p>
            <w:pPr>
              <w:pStyle w:val="TableContents"/>
              <w:bidi w:val="0"/>
              <w:spacing w:before="0" w:after="283"/>
              <w:jc w:val="left"/>
              <w:rPr>
                <w:b/>
                <w:sz w:val="20"/>
              </w:rPr>
            </w:pPr>
            <w:r>
              <w:rPr>
                <w:b/>
                <w:sz w:val="20"/>
              </w:rPr>
              <w:t>Detail</w:t>
            </w:r>
          </w:p>
        </w:tc>
      </w:tr>
      <w:tr>
        <w:trPr/>
        <w:tc>
          <w:tcPr>
            <w:tcW w:w="2281" w:type="dxa"/>
            <w:tcBorders/>
            <w:tcMar>
              <w:bottom w:w="0" w:type="dxa"/>
            </w:tcMar>
            <w:vAlign w:val="center"/>
          </w:tcPr>
          <w:p>
            <w:pPr>
              <w:pStyle w:val="TableContents"/>
              <w:bidi w:val="0"/>
              <w:spacing w:before="0" w:after="283"/>
              <w:jc w:val="left"/>
              <w:rPr>
                <w:b/>
                <w:sz w:val="20"/>
              </w:rPr>
            </w:pPr>
            <w:r>
              <w:rPr>
                <w:b/>
                <w:sz w:val="20"/>
              </w:rPr>
              <w:t>Principal Amount</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USD 27,650,000 (Twenty-Seven Million, Six Hundred and Fifty Thousand U.S. Dollars)</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Currency</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U.S. Dollars (not New Israeli Shekel)</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Annual Interest Rate</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12% per annum (“Interest Rate”), compounded annually</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Minimum Interest Period</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6 months — interest accrues for at least 6 months even if the loan is repaid earlier</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Loan Commencement Date</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both"/>
              <w:rPr>
                <w:sz w:val="20"/>
              </w:rPr>
            </w:pPr>
            <w:r>
              <w:rPr>
                <w:sz w:val="20"/>
              </w:rPr>
              <w:t>Date on which all conditions precedent are satisfied and loan proceeds are transferred to the Borrower</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Repayment Term</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12 months from the Loan Commencement Date (the “Loan Repayment Date”)</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Default Interest Rate</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16% per annum on any overdue amounts</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Oramed Portion</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USD 22,650,000</w:t>
            </w:r>
          </w:p>
        </w:tc>
      </w:tr>
      <w:tr>
        <w:trPr/>
        <w:tc>
          <w:tcPr>
            <w:tcW w:w="22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pPr>
            <w:r>
              <w:rPr/>
              <w:t> </w:t>
            </w:r>
          </w:p>
        </w:tc>
      </w:tr>
      <w:tr>
        <w:trPr/>
        <w:tc>
          <w:tcPr>
            <w:tcW w:w="2281" w:type="dxa"/>
            <w:tcBorders/>
            <w:tcMar>
              <w:bottom w:w="0" w:type="dxa"/>
            </w:tcMar>
            <w:vAlign w:val="center"/>
          </w:tcPr>
          <w:p>
            <w:pPr>
              <w:pStyle w:val="TableContents"/>
              <w:bidi w:val="0"/>
              <w:spacing w:before="0" w:after="283"/>
              <w:jc w:val="left"/>
              <w:rPr>
                <w:b/>
                <w:sz w:val="20"/>
              </w:rPr>
            </w:pPr>
            <w:r>
              <w:rPr>
                <w:b/>
                <w:sz w:val="20"/>
              </w:rPr>
              <w:t>Tova Hochma Portion</w:t>
            </w:r>
          </w:p>
        </w:tc>
        <w:tc>
          <w:tcPr>
            <w:tcW w:w="60" w:type="dxa"/>
            <w:tcBorders/>
            <w:tcMar>
              <w:bottom w:w="0" w:type="dxa"/>
            </w:tcMar>
            <w:vAlign w:val="center"/>
          </w:tcPr>
          <w:p>
            <w:pPr>
              <w:pStyle w:val="TableContents"/>
              <w:bidi w:val="0"/>
              <w:spacing w:before="0" w:after="283"/>
              <w:jc w:val="left"/>
              <w:rPr/>
            </w:pPr>
            <w:r>
              <w:rPr/>
              <w:t> </w:t>
            </w:r>
          </w:p>
        </w:tc>
        <w:tc>
          <w:tcPr>
            <w:tcW w:w="7864" w:type="dxa"/>
            <w:tcBorders/>
            <w:tcMar>
              <w:bottom w:w="0" w:type="dxa"/>
            </w:tcMar>
            <w:vAlign w:val="center"/>
          </w:tcPr>
          <w:p>
            <w:pPr>
              <w:pStyle w:val="TableContents"/>
              <w:bidi w:val="0"/>
              <w:spacing w:before="0" w:after="283"/>
              <w:jc w:val="left"/>
              <w:rPr>
                <w:sz w:val="20"/>
              </w:rPr>
            </w:pPr>
            <w:r>
              <w:rPr>
                <w:sz w:val="20"/>
              </w:rPr>
              <w:t>USD 5,000,000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Purpose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proceeds serve as partial consideration for a real estate purchase transaction (the “Sale Agreement”) entered into on October 15, 2024 between the Borrower and the Greek Orthodox Patriarchate of Jerusalem (the “Patriarchate”). Under the Sale Agreement, the Borrower agreed to purchase certain real property in Jerusalem for a total consideration of NIS 200,000,000. The first installment of the purchase price (NIS 100,000,000) is to be funded using the loan proceeds and remitted to the Patriarchate promptly following disbursement.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Subject Property</w:t>
      </w:r>
    </w:p>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28" w:type="dxa"/>
          <w:right w:w="0" w:type="dxa"/>
        </w:tblCellMar>
      </w:tblPr>
      <w:tblGrid>
        <w:gridCol w:w="2690"/>
        <w:gridCol w:w="60"/>
        <w:gridCol w:w="6065"/>
      </w:tblGrid>
      <w:tr>
        <w:trPr/>
        <w:tc>
          <w:tcPr>
            <w:tcW w:w="2690"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Registry Parameter</w:t>
            </w:r>
          </w:p>
        </w:tc>
        <w:tc>
          <w:tcPr>
            <w:tcW w:w="60" w:type="dxa"/>
            <w:tcBorders/>
            <w:tcMar>
              <w:bottom w:w="0" w:type="dxa"/>
            </w:tcMar>
            <w:vAlign w:val="center"/>
          </w:tcPr>
          <w:p>
            <w:pPr>
              <w:pStyle w:val="TableContents"/>
              <w:bidi w:val="0"/>
              <w:spacing w:before="0" w:after="283"/>
              <w:jc w:val="left"/>
              <w:rPr/>
            </w:pPr>
            <w:r>
              <w:rPr/>
              <w:t> </w:t>
            </w:r>
          </w:p>
        </w:tc>
        <w:tc>
          <w:tcPr>
            <w:tcW w:w="6065"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Detail</w:t>
            </w:r>
          </w:p>
        </w:tc>
      </w:tr>
      <w:tr>
        <w:trPr/>
        <w:tc>
          <w:tcPr>
            <w:tcW w:w="2690" w:type="dxa"/>
            <w:tcBorders/>
            <w:tcMar>
              <w:bottom w:w="0" w:type="dxa"/>
            </w:tcMar>
            <w:vAlign w:val="center"/>
          </w:tcPr>
          <w:p>
            <w:pPr>
              <w:pStyle w:val="TableContents"/>
              <w:bidi w:val="0"/>
              <w:spacing w:before="0" w:after="283"/>
              <w:jc w:val="left"/>
              <w:rPr>
                <w:b/>
                <w:sz w:val="20"/>
              </w:rPr>
            </w:pPr>
            <w:r>
              <w:rPr>
                <w:b/>
                <w:sz w:val="20"/>
              </w:rPr>
              <w:t>Land Registry District</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Jerusalem</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Block (Gush)</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30288</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Parcel (Chelka)</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2</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Total Area</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Approximately 110,028 sq.m.</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Sub-Parcel 2 (“Main Parcel”)</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~48,906 sq.m. on the western side of Road 1045 / Hebron Road, Jerusalem</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Sub-Parcel 4 (“Second Parcel”)</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Parcel 1045, Sub-Parcel 739 — remainder of the land</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Frontage</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sz w:val="20"/>
              </w:rPr>
            </w:pPr>
            <w:r>
              <w:rPr>
                <w:sz w:val="20"/>
              </w:rPr>
              <w:t>~16,285 sq.m. fronting Hebron Road (western side, Road 1045, pages 734)</w:t>
            </w:r>
          </w:p>
        </w:tc>
      </w:tr>
      <w:tr>
        <w:trPr/>
        <w:tc>
          <w:tcPr>
            <w:tcW w:w="26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ind w:left="0" w:right="0" w:hanging="180"/>
              <w:jc w:val="left"/>
              <w:rPr/>
            </w:pPr>
            <w:r>
              <w:rPr/>
              <w:t> </w:t>
            </w:r>
          </w:p>
        </w:tc>
      </w:tr>
      <w:tr>
        <w:trPr/>
        <w:tc>
          <w:tcPr>
            <w:tcW w:w="2690" w:type="dxa"/>
            <w:tcBorders/>
            <w:tcMar>
              <w:bottom w:w="0" w:type="dxa"/>
            </w:tcMar>
            <w:vAlign w:val="center"/>
          </w:tcPr>
          <w:p>
            <w:pPr>
              <w:pStyle w:val="TableContents"/>
              <w:bidi w:val="0"/>
              <w:spacing w:before="0" w:after="283"/>
              <w:jc w:val="left"/>
              <w:rPr>
                <w:b/>
                <w:sz w:val="20"/>
              </w:rPr>
            </w:pPr>
            <w:r>
              <w:rPr>
                <w:b/>
                <w:sz w:val="20"/>
              </w:rPr>
              <w:t>Registered Owner</w:t>
            </w:r>
          </w:p>
        </w:tc>
        <w:tc>
          <w:tcPr>
            <w:tcW w:w="60" w:type="dxa"/>
            <w:tcBorders/>
            <w:tcMar>
              <w:bottom w:w="0" w:type="dxa"/>
            </w:tcMar>
            <w:vAlign w:val="center"/>
          </w:tcPr>
          <w:p>
            <w:pPr>
              <w:pStyle w:val="TableContents"/>
              <w:bidi w:val="0"/>
              <w:spacing w:before="0" w:after="283"/>
              <w:jc w:val="left"/>
              <w:rPr/>
            </w:pPr>
            <w:r>
              <w:rPr/>
              <w:t> </w:t>
            </w:r>
          </w:p>
        </w:tc>
        <w:tc>
          <w:tcPr>
            <w:tcW w:w="6065" w:type="dxa"/>
            <w:tcBorders/>
            <w:tcMar>
              <w:bottom w:w="0" w:type="dxa"/>
            </w:tcMar>
            <w:vAlign w:val="center"/>
          </w:tcPr>
          <w:p>
            <w:pPr>
              <w:pStyle w:val="TableContents"/>
              <w:bidi w:val="0"/>
              <w:spacing w:before="0" w:after="283"/>
              <w:jc w:val="left"/>
              <w:rPr>
                <w:sz w:val="20"/>
              </w:rPr>
            </w:pPr>
            <w:r>
              <w:rPr>
                <w:sz w:val="20"/>
              </w:rPr>
              <w:t>Greek Orthodox Patriarchate of Jerusalem (Mandatory-era registration)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Disbursement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Disbursement of the loan principal is conditioned upon satisfaction of all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283"/>
              <w:jc w:val="both"/>
              <w:rPr/>
            </w:pPr>
            <w:r>
              <w:rPr/>
              <w:t>Delivery by the Borrower of account details of the “Warning Lien Holders” (as defined in the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2.</w:t>
            </w:r>
          </w:p>
        </w:tc>
        <w:tc>
          <w:tcPr>
            <w:tcW w:w="9982" w:type="dxa"/>
            <w:tcBorders/>
            <w:vAlign w:val="center"/>
          </w:tcPr>
          <w:p>
            <w:pPr>
              <w:pStyle w:val="TableContents"/>
              <w:bidi w:val="0"/>
              <w:spacing w:before="0" w:after="283"/>
              <w:jc w:val="both"/>
              <w:rPr/>
            </w:pPr>
            <w:r>
              <w:rPr/>
              <w:t>Confirmation by the Borrower’s bank that the warning lien account has been designated and is under the management of the Borrower;</w:t>
            </w:r>
          </w:p>
        </w:tc>
      </w:tr>
    </w:tbl>
    <w:p>
      <w:pPr>
        <w:pStyle w:val="TextBody"/>
        <w:bidi w:val="0"/>
        <w:spacing w:before="0" w:after="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20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8540" w:type="dxa"/>
            <w:tcBorders/>
            <w:vAlign w:val="center"/>
          </w:tcPr>
          <w:p>
            <w:pPr>
              <w:pStyle w:val="TableContents"/>
              <w:bidi w:val="0"/>
              <w:spacing w:before="0" w:after="283"/>
              <w:jc w:val="both"/>
              <w:rPr/>
            </w:pPr>
            <w:r>
              <w:rPr/>
              <w:t>Receipt of lien registration documentation from the relevant banks in favor of the Lenders.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shall be denominated in U.S. Dollars and converted to NIS at the Bank of Israel representative rate on the date of payment. The Lenders’ respective portions shall be held in separate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Security / Collateral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54"/>
        <w:gridCol w:w="60"/>
        <w:gridCol w:w="8191"/>
      </w:tblGrid>
      <w:tr>
        <w:trPr/>
        <w:tc>
          <w:tcPr>
            <w:tcW w:w="1954"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Security Type</w:t>
            </w:r>
          </w:p>
        </w:tc>
        <w:tc>
          <w:tcPr>
            <w:tcW w:w="60" w:type="dxa"/>
            <w:tcBorders/>
            <w:tcMar>
              <w:bottom w:w="0" w:type="dxa"/>
            </w:tcMar>
            <w:vAlign w:val="center"/>
          </w:tcPr>
          <w:p>
            <w:pPr>
              <w:pStyle w:val="TableContents"/>
              <w:bidi w:val="0"/>
              <w:spacing w:before="0" w:after="283"/>
              <w:jc w:val="left"/>
              <w:rPr/>
            </w:pPr>
            <w:r>
              <w:rPr/>
              <w:t> </w:t>
            </w:r>
          </w:p>
        </w:tc>
        <w:tc>
          <w:tcPr>
            <w:tcW w:w="8191"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Description</w:t>
            </w:r>
          </w:p>
        </w:tc>
      </w:tr>
      <w:tr>
        <w:trPr/>
        <w:tc>
          <w:tcPr>
            <w:tcW w:w="1954" w:type="dxa"/>
            <w:tcBorders/>
            <w:tcMar>
              <w:bottom w:w="0" w:type="dxa"/>
            </w:tcMar>
            <w:vAlign w:val="center"/>
          </w:tcPr>
          <w:p>
            <w:pPr>
              <w:pStyle w:val="TableContents"/>
              <w:bidi w:val="0"/>
              <w:spacing w:before="0" w:after="283"/>
              <w:jc w:val="left"/>
              <w:rPr>
                <w:b/>
                <w:sz w:val="20"/>
              </w:rPr>
            </w:pPr>
            <w:r>
              <w:rPr>
                <w:b/>
                <w:sz w:val="20"/>
              </w:rPr>
              <w:t>Share Pledge (First-Ranking)</w:t>
            </w:r>
          </w:p>
        </w:tc>
        <w:tc>
          <w:tcPr>
            <w:tcW w:w="60" w:type="dxa"/>
            <w:tcBorders/>
            <w:tcMar>
              <w:bottom w:w="0" w:type="dxa"/>
            </w:tcMar>
            <w:vAlign w:val="center"/>
          </w:tcPr>
          <w:p>
            <w:pPr>
              <w:pStyle w:val="TableContents"/>
              <w:bidi w:val="0"/>
              <w:spacing w:before="0" w:after="283"/>
              <w:jc w:val="left"/>
              <w:rPr/>
            </w:pPr>
            <w:r>
              <w:rPr/>
              <w:t> </w:t>
            </w:r>
          </w:p>
        </w:tc>
        <w:tc>
          <w:tcPr>
            <w:tcW w:w="8191" w:type="dxa"/>
            <w:tcBorders/>
            <w:tcMar>
              <w:bottom w:w="0" w:type="dxa"/>
            </w:tcMar>
            <w:vAlign w:val="center"/>
          </w:tcPr>
          <w:p>
            <w:pPr>
              <w:pStyle w:val="TableContents"/>
              <w:bidi w:val="0"/>
              <w:spacing w:before="0" w:after="283"/>
              <w:ind w:left="0" w:right="0" w:hanging="180"/>
              <w:jc w:val="both"/>
              <w:rPr>
                <w:sz w:val="20"/>
              </w:rPr>
            </w:pPr>
            <w:r>
              <w:rPr>
                <w:sz w:val="20"/>
              </w:rPr>
              <w:t>Pledge of 100% of the issued share capital of the Borrower in favor of the Lenders, registered with the Companies Registrar. Replaces the prior pledge registered in connection with the Sale Agreement dated February 2, 2020 in favor of the Patriarchate (which is released concurrently).</w:t>
            </w:r>
          </w:p>
        </w:tc>
      </w:tr>
      <w:tr>
        <w:trPr/>
        <w:tc>
          <w:tcPr>
            <w:tcW w:w="19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91" w:type="dxa"/>
            <w:tcBorders/>
            <w:tcMar>
              <w:bottom w:w="0" w:type="dxa"/>
            </w:tcMar>
            <w:vAlign w:val="center"/>
          </w:tcPr>
          <w:p>
            <w:pPr>
              <w:pStyle w:val="TableContents"/>
              <w:bidi w:val="0"/>
              <w:spacing w:before="0" w:after="283"/>
              <w:ind w:left="0" w:right="0" w:hanging="180"/>
              <w:jc w:val="left"/>
              <w:rPr/>
            </w:pPr>
            <w:r>
              <w:rPr/>
              <w:t> </w:t>
            </w:r>
          </w:p>
        </w:tc>
      </w:tr>
      <w:tr>
        <w:trPr/>
        <w:tc>
          <w:tcPr>
            <w:tcW w:w="1954" w:type="dxa"/>
            <w:tcBorders/>
            <w:tcMar>
              <w:bottom w:w="0" w:type="dxa"/>
            </w:tcMar>
            <w:vAlign w:val="center"/>
          </w:tcPr>
          <w:p>
            <w:pPr>
              <w:pStyle w:val="TableContents"/>
              <w:bidi w:val="0"/>
              <w:spacing w:before="0" w:after="283"/>
              <w:jc w:val="left"/>
              <w:rPr>
                <w:b/>
                <w:sz w:val="20"/>
              </w:rPr>
            </w:pPr>
            <w:r>
              <w:rPr>
                <w:b/>
                <w:sz w:val="20"/>
              </w:rPr>
              <w:t>First-Priority Mortgage</w:t>
            </w:r>
          </w:p>
        </w:tc>
        <w:tc>
          <w:tcPr>
            <w:tcW w:w="60" w:type="dxa"/>
            <w:tcBorders/>
            <w:tcMar>
              <w:bottom w:w="0" w:type="dxa"/>
            </w:tcMar>
            <w:vAlign w:val="center"/>
          </w:tcPr>
          <w:p>
            <w:pPr>
              <w:pStyle w:val="TableContents"/>
              <w:bidi w:val="0"/>
              <w:spacing w:before="0" w:after="283"/>
              <w:jc w:val="left"/>
              <w:rPr/>
            </w:pPr>
            <w:r>
              <w:rPr/>
              <w:t> </w:t>
            </w:r>
          </w:p>
        </w:tc>
        <w:tc>
          <w:tcPr>
            <w:tcW w:w="8191" w:type="dxa"/>
            <w:tcBorders/>
            <w:tcMar>
              <w:bottom w:w="0" w:type="dxa"/>
            </w:tcMar>
            <w:vAlign w:val="center"/>
          </w:tcPr>
          <w:p>
            <w:pPr>
              <w:pStyle w:val="TableContents"/>
              <w:bidi w:val="0"/>
              <w:spacing w:before="0" w:after="283"/>
              <w:ind w:left="0" w:right="0" w:hanging="180"/>
              <w:jc w:val="both"/>
              <w:rPr>
                <w:sz w:val="20"/>
              </w:rPr>
            </w:pPr>
            <w:r>
              <w:rPr>
                <w:sz w:val="20"/>
              </w:rPr>
              <w:t>First-priority registered mortgage over the Subject Property (Section 5) in favor of the Lenders, filed with the Land Registry immediately upon execution. Covers all buildings, fixtures, and improvements thereon.</w:t>
            </w:r>
          </w:p>
        </w:tc>
      </w:tr>
      <w:tr>
        <w:trPr/>
        <w:tc>
          <w:tcPr>
            <w:tcW w:w="19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91" w:type="dxa"/>
            <w:tcBorders/>
            <w:tcMar>
              <w:bottom w:w="0" w:type="dxa"/>
            </w:tcMar>
            <w:vAlign w:val="center"/>
          </w:tcPr>
          <w:p>
            <w:pPr>
              <w:pStyle w:val="TableContents"/>
              <w:bidi w:val="0"/>
              <w:spacing w:before="0" w:after="283"/>
              <w:ind w:left="0" w:right="0" w:hanging="180"/>
              <w:jc w:val="left"/>
              <w:rPr/>
            </w:pPr>
            <w:r>
              <w:rPr/>
              <w:t> </w:t>
            </w:r>
          </w:p>
        </w:tc>
      </w:tr>
      <w:tr>
        <w:trPr/>
        <w:tc>
          <w:tcPr>
            <w:tcW w:w="1954" w:type="dxa"/>
            <w:tcBorders/>
            <w:tcMar>
              <w:bottom w:w="0" w:type="dxa"/>
            </w:tcMar>
            <w:vAlign w:val="center"/>
          </w:tcPr>
          <w:p>
            <w:pPr>
              <w:pStyle w:val="TableContents"/>
              <w:bidi w:val="0"/>
              <w:spacing w:before="0" w:after="283"/>
              <w:jc w:val="left"/>
              <w:rPr>
                <w:b/>
                <w:sz w:val="20"/>
              </w:rPr>
            </w:pPr>
            <w:r>
              <w:rPr>
                <w:b/>
                <w:sz w:val="20"/>
              </w:rPr>
              <w:t>Fixed Charge on Assets (First-Ranking)</w:t>
            </w:r>
          </w:p>
        </w:tc>
        <w:tc>
          <w:tcPr>
            <w:tcW w:w="60" w:type="dxa"/>
            <w:tcBorders/>
            <w:tcMar>
              <w:bottom w:w="0" w:type="dxa"/>
            </w:tcMar>
            <w:vAlign w:val="center"/>
          </w:tcPr>
          <w:p>
            <w:pPr>
              <w:pStyle w:val="TableContents"/>
              <w:bidi w:val="0"/>
              <w:spacing w:before="0" w:after="283"/>
              <w:jc w:val="left"/>
              <w:rPr/>
            </w:pPr>
            <w:r>
              <w:rPr/>
              <w:t> </w:t>
            </w:r>
          </w:p>
        </w:tc>
        <w:tc>
          <w:tcPr>
            <w:tcW w:w="8191" w:type="dxa"/>
            <w:tcBorders/>
            <w:tcMar>
              <w:bottom w:w="0" w:type="dxa"/>
            </w:tcMar>
            <w:vAlign w:val="center"/>
          </w:tcPr>
          <w:p>
            <w:pPr>
              <w:pStyle w:val="TableContents"/>
              <w:bidi w:val="0"/>
              <w:spacing w:before="0" w:after="283"/>
              <w:jc w:val="both"/>
              <w:rPr>
                <w:sz w:val="20"/>
              </w:rPr>
            </w:pPr>
            <w:r>
              <w:rPr>
                <w:sz w:val="20"/>
              </w:rPr>
              <w:t>First-priority fixed charge over all present and future assets and revenues of the Borrower, registered with the Companies Registrar.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Repayment and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repayment of principal and interest is due within 12 months from the Loan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Voluntary prepayment is permitted at any time, subject to: (i) a minimum interest period of 6 months; (ii) not less than 30 days’ prior written notice to the Lenders; and (iii) payment of minimum interest for the 6-month period in any case. Repayment to Oramed Ltd. is to be made to its USD account at Bank Discount; repayment to Tova Hochma Im Nachala Ltd. to its account at Bank Mizrahi-Tefahot.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Events of Default and Acceleration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43"/>
        <w:gridCol w:w="60"/>
        <w:gridCol w:w="7202"/>
      </w:tblGrid>
      <w:tr>
        <w:trPr/>
        <w:tc>
          <w:tcPr>
            <w:tcW w:w="2943"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Event</w:t>
            </w:r>
          </w:p>
        </w:tc>
        <w:tc>
          <w:tcPr>
            <w:tcW w:w="60" w:type="dxa"/>
            <w:tcBorders/>
            <w:tcMar>
              <w:bottom w:w="0" w:type="dxa"/>
            </w:tcMar>
            <w:vAlign w:val="center"/>
          </w:tcPr>
          <w:p>
            <w:pPr>
              <w:pStyle w:val="TableContents"/>
              <w:bidi w:val="0"/>
              <w:spacing w:before="0" w:after="283"/>
              <w:jc w:val="left"/>
              <w:rPr/>
            </w:pPr>
            <w:r>
              <w:rPr/>
              <w:t> </w:t>
            </w:r>
          </w:p>
        </w:tc>
        <w:tc>
          <w:tcPr>
            <w:tcW w:w="7202"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Consequence</w:t>
            </w:r>
          </w:p>
        </w:tc>
      </w:tr>
      <w:tr>
        <w:trPr/>
        <w:tc>
          <w:tcPr>
            <w:tcW w:w="2943" w:type="dxa"/>
            <w:tcBorders/>
            <w:tcMar>
              <w:bottom w:w="0" w:type="dxa"/>
            </w:tcMar>
            <w:vAlign w:val="center"/>
          </w:tcPr>
          <w:p>
            <w:pPr>
              <w:pStyle w:val="TableContents"/>
              <w:bidi w:val="0"/>
              <w:spacing w:before="0" w:after="283"/>
              <w:jc w:val="left"/>
              <w:rPr>
                <w:b/>
                <w:sz w:val="20"/>
              </w:rPr>
            </w:pPr>
            <w:r>
              <w:rPr>
                <w:b/>
                <w:sz w:val="20"/>
              </w:rPr>
              <w:t>Non-Payment at Maturity</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sz w:val="20"/>
              </w:rPr>
            </w:pPr>
            <w:r>
              <w:rPr>
                <w:sz w:val="20"/>
              </w:rPr>
              <w:t>Lenders may accelerate. Must give 14 days’ written notice before exercising remedies.</w:t>
            </w:r>
          </w:p>
        </w:tc>
      </w:tr>
      <w:tr>
        <w:trPr/>
        <w:tc>
          <w:tcPr>
            <w:tcW w:w="29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pPr>
            <w:r>
              <w:rPr/>
              <w:t> </w:t>
            </w:r>
          </w:p>
        </w:tc>
      </w:tr>
      <w:tr>
        <w:trPr/>
        <w:tc>
          <w:tcPr>
            <w:tcW w:w="2943" w:type="dxa"/>
            <w:tcBorders/>
            <w:tcMar>
              <w:bottom w:w="0" w:type="dxa"/>
            </w:tcMar>
            <w:vAlign w:val="center"/>
          </w:tcPr>
          <w:p>
            <w:pPr>
              <w:pStyle w:val="TableContents"/>
              <w:bidi w:val="0"/>
              <w:spacing w:before="0" w:after="283"/>
              <w:jc w:val="left"/>
              <w:rPr>
                <w:b/>
                <w:sz w:val="20"/>
              </w:rPr>
            </w:pPr>
            <w:r>
              <w:rPr>
                <w:b/>
                <w:sz w:val="20"/>
              </w:rPr>
              <w:t>Challenge to Title / Sale Agreement</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sz w:val="20"/>
              </w:rPr>
            </w:pPr>
            <w:r>
              <w:rPr>
                <w:sz w:val="20"/>
              </w:rPr>
              <w:t>Borrower challenges the Sale Agreement or gives notice of cancellation to the Patriarchate.</w:t>
            </w:r>
          </w:p>
        </w:tc>
      </w:tr>
      <w:tr>
        <w:trPr/>
        <w:tc>
          <w:tcPr>
            <w:tcW w:w="29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pPr>
            <w:r>
              <w:rPr/>
              <w:t> </w:t>
            </w:r>
          </w:p>
        </w:tc>
      </w:tr>
      <w:tr>
        <w:trPr/>
        <w:tc>
          <w:tcPr>
            <w:tcW w:w="2943" w:type="dxa"/>
            <w:tcBorders/>
            <w:tcMar>
              <w:bottom w:w="0" w:type="dxa"/>
            </w:tcMar>
            <w:vAlign w:val="center"/>
          </w:tcPr>
          <w:p>
            <w:pPr>
              <w:pStyle w:val="TableContents"/>
              <w:bidi w:val="0"/>
              <w:spacing w:before="0" w:after="283"/>
              <w:jc w:val="left"/>
              <w:rPr>
                <w:b/>
                <w:sz w:val="20"/>
              </w:rPr>
            </w:pPr>
            <w:r>
              <w:rPr>
                <w:b/>
                <w:sz w:val="20"/>
              </w:rPr>
              <w:t>Enforcement / Receivership</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sz w:val="20"/>
              </w:rPr>
            </w:pPr>
            <w:r>
              <w:rPr>
                <w:sz w:val="20"/>
              </w:rPr>
              <w:t>Foreclosure or enforcement initiated against the Property, or attachment of Borrower’s assets.</w:t>
            </w:r>
          </w:p>
        </w:tc>
      </w:tr>
      <w:tr>
        <w:trPr/>
        <w:tc>
          <w:tcPr>
            <w:tcW w:w="29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pPr>
            <w:r>
              <w:rPr/>
              <w:t> </w:t>
            </w:r>
          </w:p>
        </w:tc>
      </w:tr>
      <w:tr>
        <w:trPr/>
        <w:tc>
          <w:tcPr>
            <w:tcW w:w="2943" w:type="dxa"/>
            <w:tcBorders/>
            <w:tcMar>
              <w:bottom w:w="0" w:type="dxa"/>
            </w:tcMar>
            <w:vAlign w:val="center"/>
          </w:tcPr>
          <w:p>
            <w:pPr>
              <w:pStyle w:val="TableContents"/>
              <w:bidi w:val="0"/>
              <w:spacing w:before="0" w:after="283"/>
              <w:jc w:val="left"/>
              <w:rPr>
                <w:b/>
                <w:sz w:val="20"/>
              </w:rPr>
            </w:pPr>
            <w:r>
              <w:rPr>
                <w:b/>
                <w:sz w:val="20"/>
              </w:rPr>
              <w:t>Combination / Change of Control</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sz w:val="20"/>
              </w:rPr>
            </w:pPr>
            <w:r>
              <w:rPr>
                <w:sz w:val="20"/>
              </w:rPr>
              <w:t>If Borrower enters a combination transaction that the Lenders have not consented to.</w:t>
            </w:r>
          </w:p>
        </w:tc>
      </w:tr>
      <w:tr>
        <w:trPr/>
        <w:tc>
          <w:tcPr>
            <w:tcW w:w="29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ind w:left="0" w:right="0" w:hanging="180"/>
              <w:jc w:val="left"/>
              <w:rPr/>
            </w:pPr>
            <w:r>
              <w:rPr/>
              <w:t> </w:t>
            </w:r>
          </w:p>
        </w:tc>
      </w:tr>
      <w:tr>
        <w:trPr/>
        <w:tc>
          <w:tcPr>
            <w:tcW w:w="2943" w:type="dxa"/>
            <w:tcBorders/>
            <w:tcMar>
              <w:bottom w:w="0" w:type="dxa"/>
            </w:tcMar>
            <w:vAlign w:val="center"/>
          </w:tcPr>
          <w:p>
            <w:pPr>
              <w:pStyle w:val="TableContents"/>
              <w:bidi w:val="0"/>
              <w:spacing w:before="0" w:after="283"/>
              <w:jc w:val="left"/>
              <w:rPr>
                <w:b/>
                <w:sz w:val="20"/>
              </w:rPr>
            </w:pPr>
            <w:r>
              <w:rPr>
                <w:b/>
                <w:sz w:val="20"/>
              </w:rPr>
              <w:t>Default Interest</w:t>
            </w:r>
          </w:p>
        </w:tc>
        <w:tc>
          <w:tcPr>
            <w:tcW w:w="60" w:type="dxa"/>
            <w:tcBorders/>
            <w:tcMar>
              <w:bottom w:w="0" w:type="dxa"/>
            </w:tcMar>
            <w:vAlign w:val="center"/>
          </w:tcPr>
          <w:p>
            <w:pPr>
              <w:pStyle w:val="TableContents"/>
              <w:bidi w:val="0"/>
              <w:spacing w:before="0" w:after="283"/>
              <w:jc w:val="left"/>
              <w:rPr/>
            </w:pPr>
            <w:r>
              <w:rPr/>
              <w:t> </w:t>
            </w:r>
          </w:p>
        </w:tc>
        <w:tc>
          <w:tcPr>
            <w:tcW w:w="7202" w:type="dxa"/>
            <w:tcBorders/>
            <w:tcMar>
              <w:bottom w:w="0" w:type="dxa"/>
            </w:tcMar>
            <w:vAlign w:val="center"/>
          </w:tcPr>
          <w:p>
            <w:pPr>
              <w:pStyle w:val="TableContents"/>
              <w:bidi w:val="0"/>
              <w:spacing w:before="0" w:after="283"/>
              <w:jc w:val="left"/>
              <w:rPr>
                <w:sz w:val="20"/>
              </w:rPr>
            </w:pPr>
            <w:r>
              <w:rPr>
                <w:sz w:val="20"/>
              </w:rPr>
              <w:t>16% per annum on any overdue amount from the date of default until actual repayment.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Transfer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are aware that the Borrower intends to prepay the loan in connection with a combination transaction with a third party. Upon full repayment, the Lenders shall release all security interests. The Borrower may not assign its rights or obligations without the prior written consent of the Lenders. The Lenders shall not unreasonably withhold consent to transfer of the security package to the combination entity, subject to the Borrower’s compliance with all terms of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General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63"/>
        <w:gridCol w:w="60"/>
        <w:gridCol w:w="8782"/>
      </w:tblGrid>
      <w:tr>
        <w:trPr/>
        <w:tc>
          <w:tcPr>
            <w:tcW w:w="1363" w:type="dxa"/>
            <w:tcBorders>
              <w:bottom w:val="single" w:sz="12" w:space="0" w:color="000000"/>
            </w:tcBorders>
            <w:vAlign w:val="center"/>
          </w:tcPr>
          <w:p>
            <w:pPr>
              <w:pStyle w:val="TableContents"/>
              <w:bidi w:val="0"/>
              <w:spacing w:before="0" w:after="283"/>
              <w:jc w:val="left"/>
              <w:rPr>
                <w:b/>
                <w:sz w:val="20"/>
              </w:rPr>
            </w:pPr>
            <w:r>
              <w:rPr>
                <w:b/>
                <w:sz w:val="20"/>
              </w:rPr>
              <w:t>Provision</w:t>
            </w:r>
          </w:p>
        </w:tc>
        <w:tc>
          <w:tcPr>
            <w:tcW w:w="60" w:type="dxa"/>
            <w:tcBorders/>
            <w:tcMar>
              <w:bottom w:w="0" w:type="dxa"/>
            </w:tcMar>
            <w:vAlign w:val="center"/>
          </w:tcPr>
          <w:p>
            <w:pPr>
              <w:pStyle w:val="TableContents"/>
              <w:bidi w:val="0"/>
              <w:spacing w:before="0" w:after="283"/>
              <w:jc w:val="left"/>
              <w:rPr/>
            </w:pPr>
            <w:r>
              <w:rPr/>
              <w:t> </w:t>
            </w:r>
          </w:p>
        </w:tc>
        <w:tc>
          <w:tcPr>
            <w:tcW w:w="8782" w:type="dxa"/>
            <w:tcBorders>
              <w:bottom w:val="single" w:sz="12" w:space="0" w:color="000000"/>
            </w:tcBorders>
            <w:vAlign w:val="center"/>
          </w:tcPr>
          <w:p>
            <w:pPr>
              <w:pStyle w:val="TableContents"/>
              <w:bidi w:val="0"/>
              <w:spacing w:before="0" w:after="283"/>
              <w:jc w:val="left"/>
              <w:rPr>
                <w:b/>
                <w:sz w:val="20"/>
              </w:rPr>
            </w:pPr>
            <w:r>
              <w:rPr>
                <w:b/>
                <w:sz w:val="20"/>
              </w:rPr>
              <w:t>Summary</w:t>
            </w:r>
          </w:p>
        </w:tc>
      </w:tr>
      <w:tr>
        <w:trPr/>
        <w:tc>
          <w:tcPr>
            <w:tcW w:w="1363" w:type="dxa"/>
            <w:tcBorders/>
            <w:tcMar>
              <w:bottom w:w="0" w:type="dxa"/>
            </w:tcMar>
            <w:vAlign w:val="center"/>
          </w:tcPr>
          <w:p>
            <w:pPr>
              <w:pStyle w:val="TableContents"/>
              <w:bidi w:val="0"/>
              <w:spacing w:before="0" w:after="283"/>
              <w:jc w:val="left"/>
              <w:rPr>
                <w:b/>
                <w:sz w:val="20"/>
              </w:rPr>
            </w:pPr>
            <w:r>
              <w:rPr>
                <w:b/>
                <w:sz w:val="20"/>
              </w:rPr>
              <w:t>Governing Law</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sz w:val="20"/>
              </w:rPr>
            </w:pPr>
            <w:r>
              <w:rPr>
                <w:sz w:val="20"/>
              </w:rPr>
              <w:t>Laws of the State of Israel</w:t>
            </w:r>
          </w:p>
        </w:tc>
      </w:tr>
      <w:tr>
        <w:trPr/>
        <w:tc>
          <w:tcPr>
            <w:tcW w:w="13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pPr>
            <w:r>
              <w:rPr/>
              <w:t> </w:t>
            </w:r>
          </w:p>
        </w:tc>
      </w:tr>
      <w:tr>
        <w:trPr/>
        <w:tc>
          <w:tcPr>
            <w:tcW w:w="1363" w:type="dxa"/>
            <w:tcBorders/>
            <w:tcMar>
              <w:bottom w:w="0" w:type="dxa"/>
            </w:tcMar>
            <w:vAlign w:val="center"/>
          </w:tcPr>
          <w:p>
            <w:pPr>
              <w:pStyle w:val="TableContents"/>
              <w:bidi w:val="0"/>
              <w:spacing w:before="0" w:after="283"/>
              <w:jc w:val="left"/>
              <w:rPr>
                <w:b/>
                <w:sz w:val="20"/>
              </w:rPr>
            </w:pPr>
            <w:r>
              <w:rPr>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sz w:val="20"/>
              </w:rPr>
            </w:pPr>
            <w:r>
              <w:rPr>
                <w:sz w:val="20"/>
              </w:rPr>
              <w:t>Courts of Jerusalem having jurisdiction over the Subject Property</w:t>
            </w:r>
          </w:p>
        </w:tc>
      </w:tr>
      <w:tr>
        <w:trPr/>
        <w:tc>
          <w:tcPr>
            <w:tcW w:w="13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pPr>
            <w:r>
              <w:rPr/>
              <w:t> </w:t>
            </w:r>
          </w:p>
        </w:tc>
      </w:tr>
      <w:tr>
        <w:trPr/>
        <w:tc>
          <w:tcPr>
            <w:tcW w:w="1363" w:type="dxa"/>
            <w:tcBorders/>
            <w:tcMar>
              <w:bottom w:w="0" w:type="dxa"/>
            </w:tcMar>
            <w:vAlign w:val="center"/>
          </w:tcPr>
          <w:p>
            <w:pPr>
              <w:pStyle w:val="TableContents"/>
              <w:bidi w:val="0"/>
              <w:spacing w:before="0" w:after="283"/>
              <w:jc w:val="left"/>
              <w:rPr>
                <w:b/>
                <w:sz w:val="20"/>
              </w:rPr>
            </w:pPr>
            <w:r>
              <w:rPr>
                <w:b/>
                <w:sz w:val="20"/>
              </w:rPr>
              <w:t>Amendment</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sz w:val="20"/>
              </w:rPr>
            </w:pPr>
            <w:r>
              <w:rPr>
                <w:sz w:val="20"/>
              </w:rPr>
              <w:t>No amendment valid unless in writing and signed by all parties</w:t>
            </w:r>
          </w:p>
        </w:tc>
      </w:tr>
      <w:tr>
        <w:trPr/>
        <w:tc>
          <w:tcPr>
            <w:tcW w:w="13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pPr>
            <w:r>
              <w:rPr/>
              <w:t> </w:t>
            </w:r>
          </w:p>
        </w:tc>
      </w:tr>
      <w:tr>
        <w:trPr/>
        <w:tc>
          <w:tcPr>
            <w:tcW w:w="1363" w:type="dxa"/>
            <w:tcBorders/>
            <w:tcMar>
              <w:bottom w:w="0" w:type="dxa"/>
            </w:tcMar>
            <w:vAlign w:val="center"/>
          </w:tcPr>
          <w:p>
            <w:pPr>
              <w:pStyle w:val="TableContents"/>
              <w:bidi w:val="0"/>
              <w:spacing w:before="0" w:after="283"/>
              <w:jc w:val="left"/>
              <w:rPr>
                <w:b/>
                <w:sz w:val="20"/>
              </w:rPr>
            </w:pPr>
            <w:r>
              <w:rPr>
                <w:b/>
                <w:sz w:val="20"/>
              </w:rPr>
              <w:t>Notices</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both"/>
              <w:rPr>
                <w:sz w:val="20"/>
              </w:rPr>
            </w:pPr>
            <w:r>
              <w:rPr>
                <w:sz w:val="20"/>
              </w:rPr>
              <w:t>Registered mail to addresses in the Agreement; deemed received 3 business days after dispatch</w:t>
            </w:r>
          </w:p>
        </w:tc>
      </w:tr>
      <w:tr>
        <w:trPr/>
        <w:tc>
          <w:tcPr>
            <w:tcW w:w="13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both"/>
              <w:rPr/>
            </w:pPr>
            <w:r>
              <w:rPr/>
              <w:t> </w:t>
            </w:r>
          </w:p>
        </w:tc>
      </w:tr>
      <w:tr>
        <w:trPr/>
        <w:tc>
          <w:tcPr>
            <w:tcW w:w="1363" w:type="dxa"/>
            <w:tcBorders/>
            <w:tcMar>
              <w:bottom w:w="0" w:type="dxa"/>
            </w:tcMar>
            <w:vAlign w:val="center"/>
          </w:tcPr>
          <w:p>
            <w:pPr>
              <w:pStyle w:val="TableContents"/>
              <w:bidi w:val="0"/>
              <w:spacing w:before="0" w:after="283"/>
              <w:jc w:val="left"/>
              <w:rPr>
                <w:b/>
                <w:sz w:val="20"/>
              </w:rPr>
            </w:pPr>
            <w:r>
              <w:rPr>
                <w:b/>
                <w:sz w:val="20"/>
              </w:rPr>
              <w:t>Non-Waiver</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sz w:val="20"/>
              </w:rPr>
            </w:pPr>
            <w:r>
              <w:rPr>
                <w:sz w:val="20"/>
              </w:rPr>
              <w:t>No waiver enforceable unless in writing</w:t>
            </w:r>
          </w:p>
        </w:tc>
      </w:tr>
      <w:tr>
        <w:trPr/>
        <w:tc>
          <w:tcPr>
            <w:tcW w:w="13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left"/>
              <w:rPr/>
            </w:pPr>
            <w:r>
              <w:rPr/>
              <w:t> </w:t>
            </w:r>
          </w:p>
        </w:tc>
      </w:tr>
      <w:tr>
        <w:trPr/>
        <w:tc>
          <w:tcPr>
            <w:tcW w:w="1363" w:type="dxa"/>
            <w:tcBorders/>
            <w:tcMar>
              <w:bottom w:w="0" w:type="dxa"/>
            </w:tcMar>
            <w:vAlign w:val="center"/>
          </w:tcPr>
          <w:p>
            <w:pPr>
              <w:pStyle w:val="TableContents"/>
              <w:bidi w:val="0"/>
              <w:spacing w:before="0" w:after="283"/>
              <w:jc w:val="left"/>
              <w:rPr>
                <w:b/>
                <w:sz w:val="20"/>
              </w:rPr>
            </w:pPr>
            <w:r>
              <w:rPr>
                <w:b/>
                <w:sz w:val="20"/>
              </w:rPr>
              <w:t>Power of Attorney</w:t>
            </w:r>
          </w:p>
        </w:tc>
        <w:tc>
          <w:tcPr>
            <w:tcW w:w="60" w:type="dxa"/>
            <w:tcBorders/>
            <w:tcMar>
              <w:bottom w:w="0" w:type="dxa"/>
            </w:tcMar>
            <w:vAlign w:val="center"/>
          </w:tcPr>
          <w:p>
            <w:pPr>
              <w:pStyle w:val="TableContents"/>
              <w:bidi w:val="0"/>
              <w:spacing w:before="0" w:after="283"/>
              <w:jc w:val="left"/>
              <w:rPr/>
            </w:pPr>
            <w:r>
              <w:rPr/>
              <w:t> </w:t>
            </w:r>
          </w:p>
        </w:tc>
        <w:tc>
          <w:tcPr>
            <w:tcW w:w="8782" w:type="dxa"/>
            <w:tcBorders/>
            <w:tcMar>
              <w:bottom w:w="0" w:type="dxa"/>
            </w:tcMar>
            <w:vAlign w:val="center"/>
          </w:tcPr>
          <w:p>
            <w:pPr>
              <w:pStyle w:val="TableContents"/>
              <w:bidi w:val="0"/>
              <w:spacing w:before="0" w:after="283"/>
              <w:jc w:val="both"/>
              <w:rPr>
                <w:sz w:val="20"/>
              </w:rPr>
            </w:pPr>
            <w:r>
              <w:rPr>
                <w:sz w:val="20"/>
              </w:rPr>
              <w:t>Constitutes an irrevocable power of attorney (beli chazar) under Section 91 of the Israeli Law of Contract (General Part), 1973, notarized before Asaf Ulami, Notary (License No. 70329)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Annexes to the Original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3"/>
        <w:gridCol w:w="60"/>
        <w:gridCol w:w="9402"/>
      </w:tblGrid>
      <w:tr>
        <w:trPr/>
        <w:tc>
          <w:tcPr>
            <w:tcW w:w="743" w:type="dxa"/>
            <w:tcBorders>
              <w:bottom w:val="single" w:sz="12" w:space="0" w:color="000000"/>
            </w:tcBorders>
            <w:vAlign w:val="center"/>
          </w:tcPr>
          <w:p>
            <w:pPr>
              <w:pStyle w:val="TableContents"/>
              <w:bidi w:val="0"/>
              <w:spacing w:before="0" w:after="283"/>
              <w:jc w:val="left"/>
              <w:rPr>
                <w:b/>
                <w:sz w:val="20"/>
              </w:rPr>
            </w:pPr>
            <w:r>
              <w:rPr>
                <w:b/>
                <w:sz w:val="20"/>
              </w:rPr>
              <w:t>Annex</w:t>
            </w:r>
          </w:p>
        </w:tc>
        <w:tc>
          <w:tcPr>
            <w:tcW w:w="60" w:type="dxa"/>
            <w:tcBorders/>
            <w:tcMar>
              <w:bottom w:w="0" w:type="dxa"/>
            </w:tcMar>
            <w:vAlign w:val="center"/>
          </w:tcPr>
          <w:p>
            <w:pPr>
              <w:pStyle w:val="TableContents"/>
              <w:bidi w:val="0"/>
              <w:spacing w:before="0" w:after="283"/>
              <w:jc w:val="left"/>
              <w:rPr/>
            </w:pPr>
            <w:r>
              <w:rPr/>
              <w:t> </w:t>
            </w:r>
          </w:p>
        </w:tc>
        <w:tc>
          <w:tcPr>
            <w:tcW w:w="9402" w:type="dxa"/>
            <w:tcBorders>
              <w:bottom w:val="single" w:sz="12" w:space="0" w:color="000000"/>
            </w:tcBorders>
            <w:vAlign w:val="center"/>
          </w:tcPr>
          <w:p>
            <w:pPr>
              <w:pStyle w:val="TableContents"/>
              <w:bidi w:val="0"/>
              <w:spacing w:before="0" w:after="283"/>
              <w:jc w:val="left"/>
              <w:rPr>
                <w:b/>
                <w:sz w:val="20"/>
              </w:rPr>
            </w:pPr>
            <w:r>
              <w:rPr>
                <w:b/>
                <w:sz w:val="20"/>
              </w:rPr>
              <w:t>Content</w:t>
            </w:r>
          </w:p>
        </w:tc>
      </w:tr>
      <w:tr>
        <w:trPr/>
        <w:tc>
          <w:tcPr>
            <w:tcW w:w="743" w:type="dxa"/>
            <w:tcBorders/>
            <w:tcMar>
              <w:bottom w:w="0" w:type="dxa"/>
            </w:tcMar>
            <w:vAlign w:val="center"/>
          </w:tcPr>
          <w:p>
            <w:pPr>
              <w:pStyle w:val="TableContents"/>
              <w:bidi w:val="0"/>
              <w:spacing w:before="0" w:after="283"/>
              <w:jc w:val="left"/>
              <w:rPr>
                <w:b/>
                <w:sz w:val="20"/>
              </w:rPr>
            </w:pPr>
            <w:r>
              <w:rPr>
                <w:b/>
                <w:sz w:val="20"/>
              </w:rPr>
              <w:t>Annex A</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sz w:val="20"/>
              </w:rPr>
            </w:pPr>
            <w:r>
              <w:rPr>
                <w:sz w:val="20"/>
              </w:rPr>
              <w:t>Land Registry extract — Block 30288, Parcel 2, Jerusalem</w:t>
            </w:r>
          </w:p>
        </w:tc>
      </w:tr>
      <w:tr>
        <w:trPr/>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pPr>
            <w:r>
              <w:rPr/>
              <w:t> </w:t>
            </w:r>
          </w:p>
        </w:tc>
      </w:tr>
      <w:tr>
        <w:trPr/>
        <w:tc>
          <w:tcPr>
            <w:tcW w:w="743" w:type="dxa"/>
            <w:tcBorders/>
            <w:tcMar>
              <w:bottom w:w="0" w:type="dxa"/>
            </w:tcMar>
            <w:vAlign w:val="center"/>
          </w:tcPr>
          <w:p>
            <w:pPr>
              <w:pStyle w:val="TableContents"/>
              <w:bidi w:val="0"/>
              <w:spacing w:before="0" w:after="283"/>
              <w:jc w:val="left"/>
              <w:rPr>
                <w:b/>
                <w:sz w:val="20"/>
              </w:rPr>
            </w:pPr>
            <w:r>
              <w:rPr>
                <w:b/>
                <w:sz w:val="20"/>
              </w:rPr>
              <w:t>Annex B</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both"/>
              <w:rPr>
                <w:sz w:val="20"/>
              </w:rPr>
            </w:pPr>
            <w:r>
              <w:rPr>
                <w:sz w:val="20"/>
              </w:rPr>
              <w:t>Request for registration of Warning Lien (Hera’at Azhara) and mortgage obligations</w:t>
            </w:r>
          </w:p>
        </w:tc>
      </w:tr>
      <w:tr>
        <w:trPr/>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pPr>
            <w:r>
              <w:rPr/>
              <w:t> </w:t>
            </w:r>
          </w:p>
        </w:tc>
      </w:tr>
      <w:tr>
        <w:trPr/>
        <w:tc>
          <w:tcPr>
            <w:tcW w:w="743" w:type="dxa"/>
            <w:tcBorders/>
            <w:tcMar>
              <w:bottom w:w="0" w:type="dxa"/>
            </w:tcMar>
            <w:vAlign w:val="center"/>
          </w:tcPr>
          <w:p>
            <w:pPr>
              <w:pStyle w:val="TableContents"/>
              <w:bidi w:val="0"/>
              <w:spacing w:before="0" w:after="283"/>
              <w:jc w:val="left"/>
              <w:rPr>
                <w:b/>
                <w:sz w:val="20"/>
              </w:rPr>
            </w:pPr>
            <w:r>
              <w:rPr>
                <w:b/>
                <w:sz w:val="20"/>
              </w:rPr>
              <w:t>Annex C</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sz w:val="20"/>
              </w:rPr>
            </w:pPr>
            <w:r>
              <w:rPr>
                <w:sz w:val="20"/>
              </w:rPr>
              <w:t>Irrevocable Power of Attorney for cancellation of the Warning Lien</w:t>
            </w:r>
          </w:p>
        </w:tc>
      </w:tr>
      <w:tr>
        <w:trPr/>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pPr>
            <w:r>
              <w:rPr/>
              <w:t> </w:t>
            </w:r>
          </w:p>
        </w:tc>
      </w:tr>
      <w:tr>
        <w:trPr/>
        <w:tc>
          <w:tcPr>
            <w:tcW w:w="743" w:type="dxa"/>
            <w:tcBorders/>
            <w:tcMar>
              <w:bottom w:w="0" w:type="dxa"/>
            </w:tcMar>
            <w:vAlign w:val="center"/>
          </w:tcPr>
          <w:p>
            <w:pPr>
              <w:pStyle w:val="TableContents"/>
              <w:bidi w:val="0"/>
              <w:spacing w:before="0" w:after="283"/>
              <w:jc w:val="left"/>
              <w:rPr>
                <w:b/>
                <w:sz w:val="20"/>
              </w:rPr>
            </w:pPr>
            <w:r>
              <w:rPr>
                <w:b/>
                <w:sz w:val="20"/>
              </w:rPr>
              <w:t>Annex D</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both"/>
              <w:rPr>
                <w:sz w:val="20"/>
              </w:rPr>
            </w:pPr>
            <w:r>
              <w:rPr>
                <w:sz w:val="20"/>
              </w:rPr>
              <w:t>Confirmation of Lender bank account details (Bank Discount / Bank Mizrahi-Tefahot)</w:t>
            </w:r>
          </w:p>
        </w:tc>
      </w:tr>
      <w:tr>
        <w:trPr/>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pPr>
            <w:r>
              <w:rPr/>
              <w:t> </w:t>
            </w:r>
          </w:p>
        </w:tc>
      </w:tr>
      <w:tr>
        <w:trPr/>
        <w:tc>
          <w:tcPr>
            <w:tcW w:w="743" w:type="dxa"/>
            <w:tcBorders/>
            <w:tcMar>
              <w:bottom w:w="0" w:type="dxa"/>
            </w:tcMar>
            <w:vAlign w:val="center"/>
          </w:tcPr>
          <w:p>
            <w:pPr>
              <w:pStyle w:val="TableContents"/>
              <w:bidi w:val="0"/>
              <w:spacing w:before="0" w:after="283"/>
              <w:jc w:val="left"/>
              <w:rPr>
                <w:b/>
                <w:sz w:val="20"/>
              </w:rPr>
            </w:pPr>
            <w:r>
              <w:rPr>
                <w:b/>
                <w:sz w:val="20"/>
              </w:rPr>
              <w:t>Annex E</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sz w:val="20"/>
              </w:rPr>
            </w:pPr>
            <w:r>
              <w:rPr>
                <w:sz w:val="20"/>
              </w:rPr>
              <w:t>Intention letters from Warning Lien Holders</w:t>
            </w:r>
          </w:p>
        </w:tc>
      </w:tr>
      <w:tr>
        <w:trPr/>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pPr>
            <w:r>
              <w:rPr/>
              <w:t> </w:t>
            </w:r>
          </w:p>
        </w:tc>
      </w:tr>
      <w:tr>
        <w:trPr/>
        <w:tc>
          <w:tcPr>
            <w:tcW w:w="743" w:type="dxa"/>
            <w:tcBorders/>
            <w:tcMar>
              <w:bottom w:w="0" w:type="dxa"/>
            </w:tcMar>
            <w:vAlign w:val="center"/>
          </w:tcPr>
          <w:p>
            <w:pPr>
              <w:pStyle w:val="TableContents"/>
              <w:bidi w:val="0"/>
              <w:spacing w:before="0" w:after="283"/>
              <w:jc w:val="left"/>
              <w:rPr>
                <w:b/>
                <w:sz w:val="20"/>
              </w:rPr>
            </w:pPr>
            <w:r>
              <w:rPr>
                <w:b/>
                <w:sz w:val="20"/>
              </w:rPr>
              <w:t>Annex F</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sz w:val="20"/>
              </w:rPr>
            </w:pPr>
            <w:r>
              <w:rPr>
                <w:sz w:val="20"/>
              </w:rPr>
              <w:t>Confirmation of account details of the Patriarchate and Warning Lien Holders</w:t>
            </w:r>
          </w:p>
        </w:tc>
      </w:tr>
      <w:tr>
        <w:trPr/>
        <w:tc>
          <w:tcPr>
            <w:tcW w:w="74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left"/>
              <w:rPr/>
            </w:pPr>
            <w:r>
              <w:rPr/>
              <w:t> </w:t>
            </w:r>
          </w:p>
        </w:tc>
      </w:tr>
      <w:tr>
        <w:trPr/>
        <w:tc>
          <w:tcPr>
            <w:tcW w:w="743" w:type="dxa"/>
            <w:tcBorders/>
            <w:tcMar>
              <w:bottom w:w="0" w:type="dxa"/>
            </w:tcMar>
            <w:vAlign w:val="center"/>
          </w:tcPr>
          <w:p>
            <w:pPr>
              <w:pStyle w:val="TableContents"/>
              <w:bidi w:val="0"/>
              <w:spacing w:before="0" w:after="283"/>
              <w:jc w:val="left"/>
              <w:rPr>
                <w:b/>
                <w:sz w:val="20"/>
              </w:rPr>
            </w:pPr>
            <w:r>
              <w:rPr>
                <w:b/>
                <w:sz w:val="20"/>
              </w:rPr>
              <w:t>Annex G</w:t>
            </w:r>
          </w:p>
        </w:tc>
        <w:tc>
          <w:tcPr>
            <w:tcW w:w="60" w:type="dxa"/>
            <w:tcBorders/>
            <w:tcMar>
              <w:bottom w:w="0" w:type="dxa"/>
            </w:tcMar>
            <w:vAlign w:val="center"/>
          </w:tcPr>
          <w:p>
            <w:pPr>
              <w:pStyle w:val="TableContents"/>
              <w:bidi w:val="0"/>
              <w:spacing w:before="0" w:after="283"/>
              <w:jc w:val="left"/>
              <w:rPr/>
            </w:pPr>
            <w:r>
              <w:rPr/>
              <w:t> </w:t>
            </w:r>
          </w:p>
        </w:tc>
        <w:tc>
          <w:tcPr>
            <w:tcW w:w="9402" w:type="dxa"/>
            <w:tcBorders/>
            <w:tcMar>
              <w:bottom w:w="0" w:type="dxa"/>
            </w:tcMar>
            <w:vAlign w:val="center"/>
          </w:tcPr>
          <w:p>
            <w:pPr>
              <w:pStyle w:val="TableContents"/>
              <w:bidi w:val="0"/>
              <w:spacing w:before="0" w:after="283"/>
              <w:jc w:val="both"/>
              <w:rPr>
                <w:sz w:val="20"/>
              </w:rPr>
            </w:pPr>
            <w:r>
              <w:rPr>
                <w:sz w:val="20"/>
              </w:rPr>
              <w:t>Corporate and charges forms (Registrar of Companies) for both Lenders and the Borrower, including Debt Certificate (Ageret Chov)</w:t>
            </w:r>
          </w:p>
        </w:tc>
      </w:tr>
    </w:tbl>
    <w:p>
      <w:pPr>
        <w:pStyle w:val="TextBody"/>
        <w:bidi w:val="0"/>
        <w:spacing w:before="0" w:after="283"/>
        <w:jc w:val="left"/>
        <w:rPr/>
      </w:pPr>
      <w:r>
        <w:rPr/>
        <w:t> </w:t>
      </w:r>
    </w:p>
    <w:p>
      <w:pPr>
        <w:pStyle w:val="TextBody"/>
        <w:bidi w:val="0"/>
        <w:spacing w:before="0" w:after="283"/>
        <w:jc w:val="left"/>
        <w:rPr/>
      </w:pPr>
      <w:r>
        <w:rPr>
          <w:b/>
        </w:rPr>
        <w:t>* * *</w:t>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has been prepared by the Registrant based on the original Hebrew-language Agreement. In the event of any inconsistency between this summary and the original Hebrew text, the Hebrew text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5</w:t>
      </w:r>
    </w:p>
    <w:p>
      <w:pPr>
        <w:pStyle w:val="TextBody"/>
        <w:bidi w:val="0"/>
        <w:spacing w:before="0" w:after="283"/>
        <w:jc w:val="left"/>
        <w:rPr/>
      </w:pPr>
      <w:r>
        <w:rPr/>
        <w:t> </w:t>
      </w:r>
    </w:p>
    <w:p>
      <w:pPr>
        <w:pStyle w:val="TextBody"/>
        <w:bidi w:val="0"/>
        <w:jc w:val="right"/>
        <w:rPr>
          <w:b/>
        </w:rPr>
      </w:pPr>
      <w:bookmarkStart w:id="45" w:name="ea028261801ex10-41.htm"/>
      <w:bookmarkStart w:id="46" w:name="ksea028261801ex1041"/>
      <w:bookmarkEnd w:id="45"/>
      <w:bookmarkEnd w:id="46"/>
      <w:r>
        <w:rPr>
          <w:b/>
        </w:rPr>
        <w:t>Exhibit 10.41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Report on Form 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[__].2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ENGLISH SUMMARY OF INTER-LENDER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 Oramed Ltd. and Tova Hochma Im Nachala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(Originally Executed in Hebrew — Related to Exhibit [__].1)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Note Regarding Foreign Language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constitutes an English-language summary of an inter-lender agreement (the “Inter-Lender Agreement”) originally executed in Hebrew on March 24, 2025, between Oramed Ltd. (“Oramed”) and Tova Hochma Im Nachala Ltd. (“Tova Hochma”). This summary is provided pursuant to Rule 306 of SEC Regulation S-T (17 C.F.R. § 232.306). The original Hebrew-language Inter-Lender Agreement is filed as a sub-exhibit hereto. In the event of any inconsistency between this summary and the original Hebrew text, the Hebrew text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Inter-Lender Agreement governs the economic participation of Tova Hochma in the loan extended by Oramed and Tova Hochma jointly to Project Hafasga – Telefoniot HaHadasha Ltd. (“Borrower”) under the Loan Agreement dated March 24, 2025 (summarized in Exhibit [__].1). Capitalized terms used but not defined herein have the meanings ascribed to them in Exhibit [__].1.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Parties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21"/>
        <w:gridCol w:w="60"/>
        <w:gridCol w:w="7124"/>
      </w:tblGrid>
      <w:tr>
        <w:trPr/>
        <w:tc>
          <w:tcPr>
            <w:tcW w:w="3021"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Party</w:t>
            </w:r>
          </w:p>
        </w:tc>
        <w:tc>
          <w:tcPr>
            <w:tcW w:w="60" w:type="dxa"/>
            <w:tcBorders/>
            <w:tcMar>
              <w:bottom w:w="0" w:type="dxa"/>
            </w:tcMar>
            <w:vAlign w:val="center"/>
          </w:tcPr>
          <w:p>
            <w:pPr>
              <w:pStyle w:val="TableContents"/>
              <w:bidi w:val="0"/>
              <w:spacing w:before="0" w:after="283"/>
              <w:jc w:val="left"/>
              <w:rPr/>
            </w:pPr>
            <w:r>
              <w:rPr/>
              <w:t> </w:t>
            </w:r>
          </w:p>
        </w:tc>
        <w:tc>
          <w:tcPr>
            <w:tcW w:w="7124"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Details</w:t>
            </w:r>
          </w:p>
        </w:tc>
      </w:tr>
      <w:tr>
        <w:trPr/>
        <w:tc>
          <w:tcPr>
            <w:tcW w:w="3021" w:type="dxa"/>
            <w:tcBorders/>
            <w:tcMar>
              <w:bottom w:w="0" w:type="dxa"/>
            </w:tcMar>
            <w:vAlign w:val="center"/>
          </w:tcPr>
          <w:p>
            <w:pPr>
              <w:pStyle w:val="TableContents"/>
              <w:bidi w:val="0"/>
              <w:spacing w:before="0" w:after="283"/>
              <w:jc w:val="left"/>
              <w:rPr>
                <w:b/>
                <w:sz w:val="20"/>
              </w:rPr>
            </w:pPr>
            <w:r>
              <w:rPr>
                <w:b/>
                <w:sz w:val="20"/>
              </w:rPr>
              <w:t>Oramed Ltd. (“Oramed”)</w:t>
            </w:r>
          </w:p>
        </w:tc>
        <w:tc>
          <w:tcPr>
            <w:tcW w:w="60" w:type="dxa"/>
            <w:tcBorders/>
            <w:tcMar>
              <w:bottom w:w="0" w:type="dxa"/>
            </w:tcMar>
            <w:vAlign w:val="center"/>
          </w:tcPr>
          <w:p>
            <w:pPr>
              <w:pStyle w:val="TableContents"/>
              <w:bidi w:val="0"/>
              <w:spacing w:before="0" w:after="283"/>
              <w:jc w:val="left"/>
              <w:rPr/>
            </w:pPr>
            <w:r>
              <w:rPr/>
              <w:t> </w:t>
            </w:r>
          </w:p>
        </w:tc>
        <w:tc>
          <w:tcPr>
            <w:tcW w:w="7124" w:type="dxa"/>
            <w:tcBorders/>
            <w:tcMar>
              <w:bottom w:w="0" w:type="dxa"/>
            </w:tcMar>
            <w:vAlign w:val="center"/>
          </w:tcPr>
          <w:p>
            <w:pPr>
              <w:pStyle w:val="TableContents"/>
              <w:bidi w:val="0"/>
              <w:spacing w:before="0" w:after="283"/>
              <w:ind w:left="0" w:right="0" w:hanging="180"/>
              <w:jc w:val="both"/>
              <w:rPr>
                <w:sz w:val="20"/>
              </w:rPr>
            </w:pPr>
            <w:r>
              <w:rPr>
                <w:sz w:val="20"/>
              </w:rPr>
              <w:t>Israeli Company No. 513976712 20 Mamilla Street, Jerusalem Signed by: Nadav Kidron and Abraham Gabai, authorized signatories</w:t>
            </w:r>
          </w:p>
        </w:tc>
      </w:tr>
      <w:tr>
        <w:trPr/>
        <w:tc>
          <w:tcPr>
            <w:tcW w:w="302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24" w:type="dxa"/>
            <w:tcBorders/>
            <w:tcMar>
              <w:bottom w:w="0" w:type="dxa"/>
            </w:tcMar>
            <w:vAlign w:val="center"/>
          </w:tcPr>
          <w:p>
            <w:pPr>
              <w:pStyle w:val="TableContents"/>
              <w:bidi w:val="0"/>
              <w:spacing w:before="0" w:after="283"/>
              <w:ind w:left="0" w:right="0" w:hanging="180"/>
              <w:jc w:val="both"/>
              <w:rPr/>
            </w:pPr>
            <w:r>
              <w:rPr/>
              <w:t> </w:t>
            </w:r>
          </w:p>
        </w:tc>
      </w:tr>
      <w:tr>
        <w:trPr/>
        <w:tc>
          <w:tcPr>
            <w:tcW w:w="3021" w:type="dxa"/>
            <w:tcBorders/>
            <w:tcMar>
              <w:bottom w:w="0" w:type="dxa"/>
            </w:tcMar>
            <w:vAlign w:val="center"/>
          </w:tcPr>
          <w:p>
            <w:pPr>
              <w:pStyle w:val="TableContents"/>
              <w:bidi w:val="0"/>
              <w:spacing w:before="0" w:after="283"/>
              <w:jc w:val="left"/>
              <w:rPr>
                <w:b/>
                <w:sz w:val="20"/>
              </w:rPr>
            </w:pPr>
            <w:r>
              <w:rPr>
                <w:b/>
                <w:sz w:val="20"/>
              </w:rPr>
              <w:t>Tova Hochma Im Nachala Ltd. (“Tova Hochma”)</w:t>
            </w:r>
          </w:p>
        </w:tc>
        <w:tc>
          <w:tcPr>
            <w:tcW w:w="60" w:type="dxa"/>
            <w:tcBorders/>
            <w:tcMar>
              <w:bottom w:w="0" w:type="dxa"/>
            </w:tcMar>
            <w:vAlign w:val="center"/>
          </w:tcPr>
          <w:p>
            <w:pPr>
              <w:pStyle w:val="TableContents"/>
              <w:bidi w:val="0"/>
              <w:spacing w:before="0" w:after="283"/>
              <w:jc w:val="left"/>
              <w:rPr/>
            </w:pPr>
            <w:r>
              <w:rPr/>
              <w:t> </w:t>
            </w:r>
          </w:p>
        </w:tc>
        <w:tc>
          <w:tcPr>
            <w:tcW w:w="7124" w:type="dxa"/>
            <w:tcBorders/>
            <w:tcMar>
              <w:bottom w:w="0" w:type="dxa"/>
            </w:tcMar>
            <w:vAlign w:val="center"/>
          </w:tcPr>
          <w:p>
            <w:pPr>
              <w:pStyle w:val="TableContents"/>
              <w:bidi w:val="0"/>
              <w:spacing w:before="0" w:after="283"/>
              <w:jc w:val="both"/>
              <w:rPr>
                <w:sz w:val="20"/>
              </w:rPr>
            </w:pPr>
            <w:r>
              <w:rPr>
                <w:sz w:val="20"/>
              </w:rPr>
              <w:t>Israeli Company No. 516473402 7 Hovevei Zion Street, Jerusalem Signed by: Emmanuel Ansbecker,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Background and Relationship to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Oramed and Tova Hochma are co-lenders under the Loan Agreement dated March 24, 2025, under which the aggregate loan amount extended to the Borrower is USD 27,650,000. Oramed acts as lead lender and disburses the full amount to the Borrower. Tova Hochma participates as a sub-lender with an economic interest of USD 5,000,000 (the “Tova Hochma Portion”), which she funds directly to Oramed (not to the Borrower). The Inter-Lender Agreement sets out the terms of that participation, the flow of funds between Oramed and Tova Hochma, and their respective rights and obligations vis-à-vis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Key Financial Terms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79"/>
        <w:gridCol w:w="60"/>
        <w:gridCol w:w="8166"/>
      </w:tblGrid>
      <w:tr>
        <w:trPr/>
        <w:tc>
          <w:tcPr>
            <w:tcW w:w="1979" w:type="dxa"/>
            <w:tcBorders>
              <w:bottom w:val="single" w:sz="12" w:space="0" w:color="000000"/>
            </w:tcBorders>
            <w:vAlign w:val="center"/>
          </w:tcPr>
          <w:p>
            <w:pPr>
              <w:pStyle w:val="TableContents"/>
              <w:bidi w:val="0"/>
              <w:spacing w:before="0" w:after="283"/>
              <w:ind w:left="0" w:right="0" w:hanging="180"/>
              <w:jc w:val="left"/>
              <w:rPr>
                <w:b/>
                <w:sz w:val="20"/>
              </w:rPr>
            </w:pPr>
            <w:r>
              <w:rPr>
                <w:b/>
                <w:sz w:val="20"/>
              </w:rPr>
              <w:t>Term</w:t>
            </w:r>
          </w:p>
        </w:tc>
        <w:tc>
          <w:tcPr>
            <w:tcW w:w="60" w:type="dxa"/>
            <w:tcBorders/>
            <w:tcMar>
              <w:bottom w:w="0" w:type="dxa"/>
            </w:tcMar>
            <w:vAlign w:val="center"/>
          </w:tcPr>
          <w:p>
            <w:pPr>
              <w:pStyle w:val="TableContents"/>
              <w:bidi w:val="0"/>
              <w:spacing w:before="0" w:after="283"/>
              <w:jc w:val="left"/>
              <w:rPr/>
            </w:pPr>
            <w:r>
              <w:rPr/>
              <w:t> </w:t>
            </w:r>
          </w:p>
        </w:tc>
        <w:tc>
          <w:tcPr>
            <w:tcW w:w="8166" w:type="dxa"/>
            <w:tcBorders>
              <w:bottom w:val="single" w:sz="12" w:space="0" w:color="000000"/>
            </w:tcBorders>
            <w:vAlign w:val="center"/>
          </w:tcPr>
          <w:p>
            <w:pPr>
              <w:pStyle w:val="TableContents"/>
              <w:bidi w:val="0"/>
              <w:spacing w:before="0" w:after="283"/>
              <w:ind w:left="0" w:right="0" w:hanging="180"/>
              <w:jc w:val="both"/>
              <w:rPr>
                <w:b/>
                <w:sz w:val="20"/>
              </w:rPr>
            </w:pPr>
            <w:r>
              <w:rPr>
                <w:b/>
                <w:sz w:val="20"/>
              </w:rPr>
              <w:t>Detail</w:t>
            </w:r>
          </w:p>
        </w:tc>
      </w:tr>
      <w:tr>
        <w:trPr/>
        <w:tc>
          <w:tcPr>
            <w:tcW w:w="1979" w:type="dxa"/>
            <w:tcBorders/>
            <w:tcMar>
              <w:bottom w:w="0" w:type="dxa"/>
            </w:tcMar>
            <w:vAlign w:val="center"/>
          </w:tcPr>
          <w:p>
            <w:pPr>
              <w:pStyle w:val="TableContents"/>
              <w:bidi w:val="0"/>
              <w:spacing w:before="0" w:after="283"/>
              <w:jc w:val="left"/>
              <w:rPr>
                <w:b/>
                <w:sz w:val="20"/>
              </w:rPr>
            </w:pPr>
            <w:r>
              <w:rPr>
                <w:b/>
                <w:sz w:val="20"/>
              </w:rPr>
              <w:t>Total Loan to Borrower</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sz w:val="20"/>
              </w:rPr>
            </w:pPr>
            <w:r>
              <w:rPr>
                <w:sz w:val="20"/>
              </w:rPr>
              <w:t>USD 27,650,000</w:t>
            </w:r>
          </w:p>
        </w:tc>
      </w:tr>
      <w:tr>
        <w:trPr/>
        <w:tc>
          <w:tcPr>
            <w:tcW w:w="19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pPr>
            <w:r>
              <w:rPr/>
              <w:t> </w:t>
            </w:r>
          </w:p>
        </w:tc>
      </w:tr>
      <w:tr>
        <w:trPr/>
        <w:tc>
          <w:tcPr>
            <w:tcW w:w="1979" w:type="dxa"/>
            <w:tcBorders/>
            <w:tcMar>
              <w:bottom w:w="0" w:type="dxa"/>
            </w:tcMar>
            <w:vAlign w:val="center"/>
          </w:tcPr>
          <w:p>
            <w:pPr>
              <w:pStyle w:val="TableContents"/>
              <w:bidi w:val="0"/>
              <w:spacing w:before="0" w:after="283"/>
              <w:jc w:val="left"/>
              <w:rPr>
                <w:b/>
                <w:sz w:val="20"/>
              </w:rPr>
            </w:pPr>
            <w:r>
              <w:rPr>
                <w:b/>
                <w:sz w:val="20"/>
              </w:rPr>
              <w:t>Tova Hochma Participation</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sz w:val="20"/>
              </w:rPr>
            </w:pPr>
            <w:r>
              <w:rPr>
                <w:sz w:val="20"/>
              </w:rPr>
              <w:t>USD 5,000,000 (the “Tova Hochma Portion”)</w:t>
            </w:r>
          </w:p>
        </w:tc>
      </w:tr>
      <w:tr>
        <w:trPr/>
        <w:tc>
          <w:tcPr>
            <w:tcW w:w="19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pPr>
            <w:r>
              <w:rPr/>
              <w:t> </w:t>
            </w:r>
          </w:p>
        </w:tc>
      </w:tr>
      <w:tr>
        <w:trPr/>
        <w:tc>
          <w:tcPr>
            <w:tcW w:w="1979" w:type="dxa"/>
            <w:tcBorders/>
            <w:tcMar>
              <w:bottom w:w="0" w:type="dxa"/>
            </w:tcMar>
            <w:vAlign w:val="center"/>
          </w:tcPr>
          <w:p>
            <w:pPr>
              <w:pStyle w:val="TableContents"/>
              <w:bidi w:val="0"/>
              <w:spacing w:before="0" w:after="283"/>
              <w:jc w:val="left"/>
              <w:rPr>
                <w:b/>
                <w:sz w:val="20"/>
              </w:rPr>
            </w:pPr>
            <w:r>
              <w:rPr>
                <w:b/>
                <w:sz w:val="20"/>
              </w:rPr>
              <w:t>Oramed Retained Portion</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sz w:val="20"/>
              </w:rPr>
            </w:pPr>
            <w:r>
              <w:rPr>
                <w:sz w:val="20"/>
              </w:rPr>
              <w:t>USD 22,650,000</w:t>
            </w:r>
          </w:p>
        </w:tc>
      </w:tr>
      <w:tr>
        <w:trPr/>
        <w:tc>
          <w:tcPr>
            <w:tcW w:w="19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pPr>
            <w:r>
              <w:rPr/>
              <w:t> </w:t>
            </w:r>
          </w:p>
        </w:tc>
      </w:tr>
      <w:tr>
        <w:trPr/>
        <w:tc>
          <w:tcPr>
            <w:tcW w:w="1979" w:type="dxa"/>
            <w:tcBorders/>
            <w:tcMar>
              <w:bottom w:w="0" w:type="dxa"/>
            </w:tcMar>
            <w:vAlign w:val="center"/>
          </w:tcPr>
          <w:p>
            <w:pPr>
              <w:pStyle w:val="TableContents"/>
              <w:bidi w:val="0"/>
              <w:spacing w:before="0" w:after="283"/>
              <w:jc w:val="left"/>
              <w:rPr>
                <w:b/>
                <w:sz w:val="20"/>
              </w:rPr>
            </w:pPr>
            <w:r>
              <w:rPr>
                <w:b/>
                <w:sz w:val="20"/>
              </w:rPr>
              <w:t>Earnest Deposit</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sz w:val="20"/>
              </w:rPr>
            </w:pPr>
            <w:r>
              <w:rPr>
                <w:sz w:val="20"/>
              </w:rPr>
              <w:t>NIS 500,000 payable by Tova Hochma to Oramed within 14 days of execution (the “Deposit”). Failure to pay entitles Oramed to withdraw.</w:t>
            </w:r>
          </w:p>
        </w:tc>
      </w:tr>
      <w:tr>
        <w:trPr/>
        <w:tc>
          <w:tcPr>
            <w:tcW w:w="19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pPr>
            <w:r>
              <w:rPr/>
              <w:t> </w:t>
            </w:r>
          </w:p>
        </w:tc>
      </w:tr>
      <w:tr>
        <w:trPr/>
        <w:tc>
          <w:tcPr>
            <w:tcW w:w="1979" w:type="dxa"/>
            <w:tcBorders/>
            <w:tcMar>
              <w:bottom w:w="0" w:type="dxa"/>
            </w:tcMar>
            <w:vAlign w:val="center"/>
          </w:tcPr>
          <w:p>
            <w:pPr>
              <w:pStyle w:val="TableContents"/>
              <w:bidi w:val="0"/>
              <w:spacing w:before="0" w:after="283"/>
              <w:jc w:val="left"/>
              <w:rPr>
                <w:b/>
                <w:sz w:val="20"/>
              </w:rPr>
            </w:pPr>
            <w:r>
              <w:rPr>
                <w:b/>
                <w:sz w:val="20"/>
              </w:rPr>
              <w:t>Balance of Participation Funding</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sz w:val="20"/>
              </w:rPr>
            </w:pPr>
            <w:r>
              <w:rPr>
                <w:sz w:val="20"/>
              </w:rPr>
              <w:t>USD 5,000,000 less the Deposit amount, payable by Tova Hochma to Oramed before disbursement of the Loan to the Borrower</w:t>
            </w:r>
          </w:p>
        </w:tc>
      </w:tr>
      <w:tr>
        <w:trPr/>
        <w:tc>
          <w:tcPr>
            <w:tcW w:w="19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pPr>
            <w:r>
              <w:rPr/>
              <w:t> </w:t>
            </w:r>
          </w:p>
        </w:tc>
      </w:tr>
      <w:tr>
        <w:trPr/>
        <w:tc>
          <w:tcPr>
            <w:tcW w:w="1979" w:type="dxa"/>
            <w:tcBorders/>
            <w:tcMar>
              <w:bottom w:w="0" w:type="dxa"/>
            </w:tcMar>
            <w:vAlign w:val="center"/>
          </w:tcPr>
          <w:p>
            <w:pPr>
              <w:pStyle w:val="TableContents"/>
              <w:bidi w:val="0"/>
              <w:spacing w:before="0" w:after="283"/>
              <w:jc w:val="left"/>
              <w:rPr>
                <w:b/>
                <w:sz w:val="20"/>
              </w:rPr>
            </w:pPr>
            <w:r>
              <w:rPr>
                <w:b/>
                <w:sz w:val="20"/>
              </w:rPr>
              <w:t>Interest Entitlement</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sz w:val="20"/>
              </w:rPr>
            </w:pPr>
            <w:r>
              <w:rPr>
                <w:sz w:val="20"/>
              </w:rPr>
              <w:t>Tova Hochma is entitled to receive interest at the same annual rate as the Loan Agreement (12% p.a.) on her USD 5,000,000 portion, passed through by Oramed upon collection from the Borrower</w:t>
            </w:r>
          </w:p>
        </w:tc>
      </w:tr>
      <w:tr>
        <w:trPr/>
        <w:tc>
          <w:tcPr>
            <w:tcW w:w="197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ind w:left="0" w:right="0" w:hanging="180"/>
              <w:jc w:val="both"/>
              <w:rPr/>
            </w:pPr>
            <w:r>
              <w:rPr/>
              <w:t> </w:t>
            </w:r>
          </w:p>
        </w:tc>
      </w:tr>
      <w:tr>
        <w:trPr/>
        <w:tc>
          <w:tcPr>
            <w:tcW w:w="1979" w:type="dxa"/>
            <w:tcBorders/>
            <w:tcMar>
              <w:bottom w:w="0" w:type="dxa"/>
            </w:tcMar>
            <w:vAlign w:val="center"/>
          </w:tcPr>
          <w:p>
            <w:pPr>
              <w:pStyle w:val="TableContents"/>
              <w:bidi w:val="0"/>
              <w:spacing w:before="0" w:after="283"/>
              <w:jc w:val="left"/>
              <w:rPr>
                <w:b/>
                <w:sz w:val="20"/>
              </w:rPr>
            </w:pPr>
            <w:r>
              <w:rPr>
                <w:b/>
                <w:sz w:val="20"/>
              </w:rPr>
              <w:t>Minimum Interest Period</w:t>
            </w:r>
          </w:p>
        </w:tc>
        <w:tc>
          <w:tcPr>
            <w:tcW w:w="60" w:type="dxa"/>
            <w:tcBorders/>
            <w:tcMar>
              <w:bottom w:w="0" w:type="dxa"/>
            </w:tcMar>
            <w:vAlign w:val="center"/>
          </w:tcPr>
          <w:p>
            <w:pPr>
              <w:pStyle w:val="TableContents"/>
              <w:bidi w:val="0"/>
              <w:spacing w:before="0" w:after="283"/>
              <w:jc w:val="left"/>
              <w:rPr/>
            </w:pPr>
            <w:r>
              <w:rPr/>
              <w:t> </w:t>
            </w:r>
          </w:p>
        </w:tc>
        <w:tc>
          <w:tcPr>
            <w:tcW w:w="8166" w:type="dxa"/>
            <w:tcBorders/>
            <w:tcMar>
              <w:bottom w:w="0" w:type="dxa"/>
            </w:tcMar>
            <w:vAlign w:val="center"/>
          </w:tcPr>
          <w:p>
            <w:pPr>
              <w:pStyle w:val="TableContents"/>
              <w:bidi w:val="0"/>
              <w:spacing w:before="0" w:after="283"/>
              <w:jc w:val="both"/>
              <w:rPr>
                <w:sz w:val="20"/>
              </w:rPr>
            </w:pPr>
            <w:r>
              <w:rPr>
                <w:sz w:val="20"/>
              </w:rPr>
              <w:t>Same as the Loan Agreement — minimum 6 months of interest applies to Tova Hochma’s portion regardless of early repayment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Funding Mechanics and Flow of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funding and repayment flow operates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86" w:type="dxa"/>
            <w:tcBorders/>
            <w:vAlign w:val="center"/>
          </w:tcPr>
          <w:p>
            <w:pPr>
              <w:pStyle w:val="TableContents"/>
              <w:bidi w:val="0"/>
              <w:spacing w:before="0" w:after="283"/>
              <w:jc w:val="both"/>
              <w:rPr/>
            </w:pPr>
            <w:r>
              <w:rPr/>
              <w:t>Tova Hochma pays the NIS 500,000 Deposit to Oramed within 14 days of signing. This amount is credited against the total Tova Hochma Portion.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2.</w:t>
            </w:r>
          </w:p>
        </w:tc>
        <w:tc>
          <w:tcPr>
            <w:tcW w:w="9988" w:type="dxa"/>
            <w:tcBorders/>
            <w:vAlign w:val="center"/>
          </w:tcPr>
          <w:p>
            <w:pPr>
              <w:pStyle w:val="TableContents"/>
              <w:bidi w:val="0"/>
              <w:spacing w:before="0" w:after="283"/>
              <w:jc w:val="both"/>
              <w:rPr/>
            </w:pPr>
            <w:r>
              <w:rPr/>
              <w:t>Prior to disbursement of the Loan to the Borrower, Tova Hochma funds the balance of her USD 5,000,000 participation (net of the Deposit) to Oramed.</w:t>
            </w:r>
          </w:p>
        </w:tc>
      </w:tr>
    </w:tbl>
    <w:p>
      <w:pPr>
        <w:pStyle w:val="TextBody"/>
        <w:bidi w:val="0"/>
        <w:spacing w:before="0" w:after="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0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3.</w:t>
            </w:r>
          </w:p>
        </w:tc>
        <w:tc>
          <w:tcPr>
            <w:tcW w:w="9620" w:type="dxa"/>
            <w:tcBorders/>
            <w:vAlign w:val="center"/>
          </w:tcPr>
          <w:p>
            <w:pPr>
              <w:pStyle w:val="TableContents"/>
              <w:bidi w:val="0"/>
              <w:spacing w:before="0" w:after="283"/>
              <w:jc w:val="both"/>
              <w:rPr/>
            </w:pPr>
            <w:r>
              <w:rPr/>
              <w:t>Oramed disburses the full USD 27,650,000 to the Borrower in accordance with the Loan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4.</w:t>
            </w:r>
          </w:p>
        </w:tc>
        <w:tc>
          <w:tcPr>
            <w:tcW w:w="10004" w:type="dxa"/>
            <w:tcBorders/>
            <w:vAlign w:val="center"/>
          </w:tcPr>
          <w:p>
            <w:pPr>
              <w:pStyle w:val="TableContents"/>
              <w:bidi w:val="0"/>
              <w:spacing w:before="0" w:after="283"/>
              <w:jc w:val="both"/>
              <w:rPr/>
            </w:pPr>
            <w:r>
              <w:rPr/>
              <w:t>Upon repayment by the Borrower, Oramed remits Tova Hochma’s proportionate share of principal and accrued interest to Tova Hochma. Prior to full repayment, Tova Hochma is entitled to receive interest on her portion only and not return of principal.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5.</w:t>
            </w:r>
          </w:p>
        </w:tc>
        <w:tc>
          <w:tcPr>
            <w:tcW w:w="9998" w:type="dxa"/>
            <w:tcBorders/>
            <w:vAlign w:val="center"/>
          </w:tcPr>
          <w:p>
            <w:pPr>
              <w:pStyle w:val="TableContents"/>
              <w:bidi w:val="0"/>
              <w:spacing w:before="0" w:after="283"/>
              <w:jc w:val="both"/>
              <w:rPr/>
            </w:pPr>
            <w:r>
              <w:rPr/>
              <w:t>If Tova Hochma fails to make any required payment to Oramed, Oramed may offset such unpaid amounts against the Deposit or other sums held, in lieu of collecting interest on the Loan from the Borrower.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acts as the sole administrative agent for the combined loan. Tova Hochma’s credit risk runs to Oramed rather than directly to the Borrower. Oramed bears full counterparty risk toward the Borrower and is responsible for collection, enforcement, and all dealings with the Borrower on behalf of both co-lenders.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Enforcement and Collection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Lenders initiate legal collection or enforcement proceedings against the Borrower, Tova Hochma’s proportionate share of the outstanding loan balance (USD 5,000,000) shall be recognized as an independent claim in Tova Hochma’s name for purposes of those proceedings. Oramed is required to take all steps necessary to protect and preserve Tova Hochma’s pro-rata interest in any such enforcement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shortfall in recovery, proceeds are distributed between the co-lenders on a pro-rata basis in proportion to their respective outstanding loan portions.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Restrictions on Transfer and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Tova Hochma may not assign, transfer, pledge, or otherwise encumber her interest under the Inter-Lender Agreement or her participation in the Loan without the prior written consent of Oramed. Oramed retains full administrative control over the Loan and acts as the sole interface with the Borrower on behalf of both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General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0"/>
        <w:gridCol w:w="60"/>
        <w:gridCol w:w="8655"/>
      </w:tblGrid>
      <w:tr>
        <w:trPr/>
        <w:tc>
          <w:tcPr>
            <w:tcW w:w="1490" w:type="dxa"/>
            <w:tcBorders>
              <w:bottom w:val="single" w:sz="12" w:space="0" w:color="000000"/>
            </w:tcBorders>
            <w:vAlign w:val="center"/>
          </w:tcPr>
          <w:p>
            <w:pPr>
              <w:pStyle w:val="TableContents"/>
              <w:bidi w:val="0"/>
              <w:spacing w:before="0" w:after="283"/>
              <w:jc w:val="left"/>
              <w:rPr>
                <w:b/>
                <w:sz w:val="20"/>
              </w:rPr>
            </w:pPr>
            <w:r>
              <w:rPr>
                <w:b/>
                <w:sz w:val="20"/>
              </w:rPr>
              <w:t>Provision</w:t>
            </w:r>
          </w:p>
        </w:tc>
        <w:tc>
          <w:tcPr>
            <w:tcW w:w="60" w:type="dxa"/>
            <w:tcBorders/>
            <w:tcMar>
              <w:bottom w:w="0" w:type="dxa"/>
            </w:tcMar>
            <w:vAlign w:val="center"/>
          </w:tcPr>
          <w:p>
            <w:pPr>
              <w:pStyle w:val="TableContents"/>
              <w:bidi w:val="0"/>
              <w:spacing w:before="0" w:after="283"/>
              <w:jc w:val="left"/>
              <w:rPr/>
            </w:pPr>
            <w:r>
              <w:rPr/>
              <w:t> </w:t>
            </w:r>
          </w:p>
        </w:tc>
        <w:tc>
          <w:tcPr>
            <w:tcW w:w="8655" w:type="dxa"/>
            <w:tcBorders>
              <w:bottom w:val="single" w:sz="12" w:space="0" w:color="000000"/>
            </w:tcBorders>
            <w:vAlign w:val="center"/>
          </w:tcPr>
          <w:p>
            <w:pPr>
              <w:pStyle w:val="TableContents"/>
              <w:bidi w:val="0"/>
              <w:spacing w:before="0" w:after="283"/>
              <w:jc w:val="left"/>
              <w:rPr>
                <w:b/>
                <w:sz w:val="20"/>
              </w:rPr>
            </w:pPr>
            <w:r>
              <w:rPr>
                <w:b/>
                <w:sz w:val="20"/>
              </w:rPr>
              <w:t>Summary</w:t>
            </w:r>
          </w:p>
        </w:tc>
      </w:tr>
      <w:tr>
        <w:trPr/>
        <w:tc>
          <w:tcPr>
            <w:tcW w:w="1490" w:type="dxa"/>
            <w:tcBorders/>
            <w:tcMar>
              <w:bottom w:w="0" w:type="dxa"/>
            </w:tcMar>
            <w:vAlign w:val="center"/>
          </w:tcPr>
          <w:p>
            <w:pPr>
              <w:pStyle w:val="TableContents"/>
              <w:bidi w:val="0"/>
              <w:spacing w:before="0" w:after="283"/>
              <w:jc w:val="left"/>
              <w:rPr>
                <w:b/>
                <w:sz w:val="20"/>
              </w:rPr>
            </w:pPr>
            <w:r>
              <w:rPr>
                <w:b/>
                <w:sz w:val="20"/>
              </w:rPr>
              <w:t>Governing Law</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sz w:val="20"/>
              </w:rPr>
            </w:pPr>
            <w:r>
              <w:rPr>
                <w:sz w:val="20"/>
              </w:rPr>
              <w:t>Laws of the State of Israel</w:t>
            </w:r>
          </w:p>
        </w:tc>
      </w:tr>
      <w:tr>
        <w:trPr/>
        <w:tc>
          <w:tcPr>
            <w:tcW w:w="1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pPr>
            <w:r>
              <w:rPr/>
              <w:t> </w:t>
            </w:r>
          </w:p>
        </w:tc>
      </w:tr>
      <w:tr>
        <w:trPr/>
        <w:tc>
          <w:tcPr>
            <w:tcW w:w="1490" w:type="dxa"/>
            <w:tcBorders/>
            <w:tcMar>
              <w:bottom w:w="0" w:type="dxa"/>
            </w:tcMar>
            <w:vAlign w:val="center"/>
          </w:tcPr>
          <w:p>
            <w:pPr>
              <w:pStyle w:val="TableContents"/>
              <w:bidi w:val="0"/>
              <w:spacing w:before="0" w:after="283"/>
              <w:jc w:val="left"/>
              <w:rPr>
                <w:b/>
                <w:sz w:val="20"/>
              </w:rPr>
            </w:pPr>
            <w:r>
              <w:rPr>
                <w:b/>
                <w:sz w:val="20"/>
              </w:rPr>
              <w:t>Jurisdiction</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sz w:val="20"/>
              </w:rPr>
            </w:pPr>
            <w:r>
              <w:rPr>
                <w:sz w:val="20"/>
              </w:rPr>
              <w:t>Courts of Jerusalem</w:t>
            </w:r>
          </w:p>
        </w:tc>
      </w:tr>
      <w:tr>
        <w:trPr/>
        <w:tc>
          <w:tcPr>
            <w:tcW w:w="1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pPr>
            <w:r>
              <w:rPr/>
              <w:t> </w:t>
            </w:r>
          </w:p>
        </w:tc>
      </w:tr>
      <w:tr>
        <w:trPr/>
        <w:tc>
          <w:tcPr>
            <w:tcW w:w="1490" w:type="dxa"/>
            <w:tcBorders/>
            <w:tcMar>
              <w:bottom w:w="0" w:type="dxa"/>
            </w:tcMar>
            <w:vAlign w:val="center"/>
          </w:tcPr>
          <w:p>
            <w:pPr>
              <w:pStyle w:val="TableContents"/>
              <w:bidi w:val="0"/>
              <w:spacing w:before="0" w:after="283"/>
              <w:jc w:val="left"/>
              <w:rPr>
                <w:b/>
                <w:sz w:val="20"/>
              </w:rPr>
            </w:pPr>
            <w:r>
              <w:rPr>
                <w:b/>
                <w:sz w:val="20"/>
              </w:rPr>
              <w:t>Nature of Relationship</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both"/>
              <w:rPr>
                <w:sz w:val="20"/>
              </w:rPr>
            </w:pPr>
            <w:r>
              <w:rPr>
                <w:sz w:val="20"/>
              </w:rPr>
              <w:t>The Inter-Lender Agreement does not create a partnership, joint venture, or agency between Oramed and Tova Hochma. Oramed acts as lead lender and administrative agent solely for the purposes described herein.</w:t>
            </w:r>
          </w:p>
        </w:tc>
      </w:tr>
      <w:tr>
        <w:trPr/>
        <w:tc>
          <w:tcPr>
            <w:tcW w:w="1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pPr>
            <w:r>
              <w:rPr/>
              <w:t> </w:t>
            </w:r>
          </w:p>
        </w:tc>
      </w:tr>
      <w:tr>
        <w:trPr/>
        <w:tc>
          <w:tcPr>
            <w:tcW w:w="1490" w:type="dxa"/>
            <w:tcBorders/>
            <w:tcMar>
              <w:bottom w:w="0" w:type="dxa"/>
            </w:tcMar>
            <w:vAlign w:val="center"/>
          </w:tcPr>
          <w:p>
            <w:pPr>
              <w:pStyle w:val="TableContents"/>
              <w:bidi w:val="0"/>
              <w:spacing w:before="0" w:after="283"/>
              <w:jc w:val="left"/>
              <w:rPr>
                <w:b/>
                <w:sz w:val="20"/>
              </w:rPr>
            </w:pPr>
            <w:r>
              <w:rPr>
                <w:b/>
                <w:sz w:val="20"/>
              </w:rPr>
              <w:t>Amendment</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sz w:val="20"/>
              </w:rPr>
            </w:pPr>
            <w:r>
              <w:rPr>
                <w:sz w:val="20"/>
              </w:rPr>
              <w:t>No amendment valid unless in writing and signed by both parties.</w:t>
            </w:r>
          </w:p>
        </w:tc>
      </w:tr>
      <w:tr>
        <w:trPr/>
        <w:tc>
          <w:tcPr>
            <w:tcW w:w="1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pPr>
            <w:r>
              <w:rPr/>
              <w:t> </w:t>
            </w:r>
          </w:p>
        </w:tc>
      </w:tr>
      <w:tr>
        <w:trPr/>
        <w:tc>
          <w:tcPr>
            <w:tcW w:w="1490" w:type="dxa"/>
            <w:tcBorders/>
            <w:tcMar>
              <w:bottom w:w="0" w:type="dxa"/>
            </w:tcMar>
            <w:vAlign w:val="center"/>
          </w:tcPr>
          <w:p>
            <w:pPr>
              <w:pStyle w:val="TableContents"/>
              <w:bidi w:val="0"/>
              <w:spacing w:before="0" w:after="283"/>
              <w:jc w:val="left"/>
              <w:rPr>
                <w:b/>
                <w:sz w:val="20"/>
              </w:rPr>
            </w:pPr>
            <w:r>
              <w:rPr>
                <w:b/>
                <w:sz w:val="20"/>
              </w:rPr>
              <w:t>Non-Waiver</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sz w:val="20"/>
              </w:rPr>
            </w:pPr>
            <w:r>
              <w:rPr>
                <w:sz w:val="20"/>
              </w:rPr>
              <w:t>No waiver enforceable unless in writing.</w:t>
            </w:r>
          </w:p>
        </w:tc>
      </w:tr>
      <w:tr>
        <w:trPr/>
        <w:tc>
          <w:tcPr>
            <w:tcW w:w="14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pPr>
            <w:r>
              <w:rPr/>
              <w:t> </w:t>
            </w:r>
          </w:p>
        </w:tc>
      </w:tr>
      <w:tr>
        <w:trPr/>
        <w:tc>
          <w:tcPr>
            <w:tcW w:w="1490" w:type="dxa"/>
            <w:tcBorders/>
            <w:tcMar>
              <w:bottom w:w="0" w:type="dxa"/>
            </w:tcMar>
            <w:vAlign w:val="center"/>
          </w:tcPr>
          <w:p>
            <w:pPr>
              <w:pStyle w:val="TableContents"/>
              <w:bidi w:val="0"/>
              <w:spacing w:before="0" w:after="283"/>
              <w:jc w:val="left"/>
              <w:rPr>
                <w:b/>
                <w:sz w:val="20"/>
              </w:rPr>
            </w:pPr>
            <w:r>
              <w:rPr>
                <w:b/>
                <w:sz w:val="20"/>
              </w:rPr>
              <w:t>Execution</w:t>
            </w:r>
          </w:p>
        </w:tc>
        <w:tc>
          <w:tcPr>
            <w:tcW w:w="60" w:type="dxa"/>
            <w:tcBorders/>
            <w:tcMar>
              <w:bottom w:w="0" w:type="dxa"/>
            </w:tcMar>
            <w:vAlign w:val="center"/>
          </w:tcPr>
          <w:p>
            <w:pPr>
              <w:pStyle w:val="TableContents"/>
              <w:bidi w:val="0"/>
              <w:spacing w:before="0" w:after="283"/>
              <w:jc w:val="left"/>
              <w:rPr/>
            </w:pPr>
            <w:r>
              <w:rPr/>
              <w:t> </w:t>
            </w:r>
          </w:p>
        </w:tc>
        <w:tc>
          <w:tcPr>
            <w:tcW w:w="8655" w:type="dxa"/>
            <w:tcBorders/>
            <w:tcMar>
              <w:bottom w:w="0" w:type="dxa"/>
            </w:tcMar>
            <w:vAlign w:val="center"/>
          </w:tcPr>
          <w:p>
            <w:pPr>
              <w:pStyle w:val="TableContents"/>
              <w:bidi w:val="0"/>
              <w:spacing w:before="0" w:after="283"/>
              <w:jc w:val="left"/>
              <w:rPr>
                <w:sz w:val="20"/>
              </w:rPr>
            </w:pPr>
            <w:r>
              <w:rPr>
                <w:sz w:val="20"/>
              </w:rPr>
              <w:t>Duly signed by both parties on March 24, 2025.</w:t>
            </w:r>
          </w:p>
        </w:tc>
      </w:tr>
    </w:tbl>
    <w:p>
      <w:pPr>
        <w:pStyle w:val="TextBody"/>
        <w:bidi w:val="0"/>
        <w:spacing w:before="0" w:after="283"/>
        <w:jc w:val="left"/>
        <w:rPr/>
      </w:pPr>
      <w:r>
        <w:rPr/>
        <w:t> </w:t>
      </w:r>
    </w:p>
    <w:p>
      <w:pPr>
        <w:pStyle w:val="TextBody"/>
        <w:bidi w:val="0"/>
        <w:spacing w:before="0" w:after="283"/>
        <w:jc w:val="left"/>
        <w:rPr/>
      </w:pPr>
      <w:r>
        <w:rPr/>
        <w:t>* *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has been prepared by the Registrant based on the original Hebrew-language Inter-Lender Agreement. In the event of any inconsistency between this summary and the original Hebrew text, the Hebrew text shall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Oramed Pharmaceuticals Inc. | Form 10-K Exhibit | Page 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8261801ex10-42.htm"/>
      <w:bookmarkStart w:id="48" w:name="ksea028261801ex1042"/>
      <w:bookmarkEnd w:id="47"/>
      <w:bookmarkEnd w:id="48"/>
      <w:r>
        <w:rPr>
          <w:rFonts w:ascii="Times New Roman;Times;Serif" w:hAnsi="Times New Roman;Times;Serif"/>
          <w:b/>
          <w:i w:val="false"/>
          <w:caps w:val="false"/>
          <w:smallCaps w:val="false"/>
          <w:sz w:val="20"/>
        </w:rPr>
        <w:t>Exhibit 10.42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Amendment to 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Sixth Amendment to Employment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entered into as of this 31 day of December 2025 and is effective as of January 1, 2026,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2019, as amended on September 19, 2021 and as further amended effective July 1, 2022, April 17, 2023, January 8, 2024 and November 7, 2024 (collectively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2.1(a)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the following paragraph is hereby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the Executive shall be entitled to a gross monthly salary of NIS 86,761 (the “</w:t>
      </w:r>
      <w:r>
        <w:rPr>
          <w:rFonts w:ascii="Times New Roman;Times;Serif" w:hAnsi="Times New Roman;Times;Serif"/>
          <w:b/>
          <w:i w:val="false"/>
          <w:caps w:val="false"/>
          <w:smallCaps w:val="false"/>
          <w:sz w:val="20"/>
        </w:rPr>
        <w:t>Salary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Amendment and the provisions of the Employment Agreement, the provisions of this Amendment shall prevail. Without limiting the generality of the foregoing, the term “Agreement” as used in the Employment Agreement shall be deemed to be the Employment Agreement as amended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to Employment Agreement as of December 31, 2025.</w:t>
      </w:r>
    </w:p>
    <w:p>
      <w:pPr>
        <w:pStyle w:val="TextBody"/>
        <w:bidi w:val="0"/>
        <w:spacing w:before="0" w:after="0"/>
        <w:ind w:left="0" w:right="0" w:hanging="0"/>
        <w:jc w:val="center"/>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jc w:val="right"/>
        <w:rPr>
          <w:rFonts w:ascii="Times New Roman;Times;Serif" w:hAnsi="Times New Roman;Times;Serif"/>
          <w:b/>
          <w:i w:val="false"/>
          <w:caps w:val="false"/>
          <w:smallCaps w:val="false"/>
          <w:sz w:val="20"/>
        </w:rPr>
      </w:pPr>
      <w:bookmarkStart w:id="49" w:name="ea028261801ex10-43.htm"/>
      <w:bookmarkStart w:id="50" w:name="ksea028261801ex1043"/>
      <w:bookmarkEnd w:id="49"/>
      <w:bookmarkEnd w:id="50"/>
      <w:r>
        <w:rPr>
          <w:rFonts w:ascii="Times New Roman;Times;Serif" w:hAnsi="Times New Roman;Times;Serif"/>
          <w:b/>
          <w:i w:val="false"/>
          <w:caps w:val="false"/>
          <w:smallCaps w:val="false"/>
          <w:sz w:val="20"/>
        </w:rPr>
        <w:t>Exhibit 10.43 </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Employment Agreement (this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 xml:space="preserve">”) is entered into as of this 19th day of September 2021 and is effective as of September 1, 2021,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Mamilla 20,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2021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2.1(a)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xml:space="preserve"> the following paragraph is hereby added:</w:t>
      </w:r>
    </w:p>
    <w:p>
      <w:pPr>
        <w:pStyle w:val="TextBody"/>
        <w:bidi w:val="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 2021, the Executive shall be entitled to a gross monthly salary of NIS 64,400 (the “</w:t>
      </w:r>
      <w:r>
        <w:rPr>
          <w:rFonts w:ascii="Times New Roman;Times;Serif" w:hAnsi="Times New Roman;Times;Serif"/>
          <w:b/>
          <w:i w:val="false"/>
          <w:caps w:val="false"/>
          <w:smallCaps w:val="false"/>
          <w:sz w:val="20"/>
        </w:rPr>
        <w:t>Salary</w:t>
      </w:r>
      <w:r>
        <w:rPr>
          <w:rFonts w:ascii="Times New Roman;Times;Serif" w:hAnsi="Times New Roman;Times;Serif"/>
          <w:b w:val="false"/>
          <w:i w:val="false"/>
          <w:caps w:val="false"/>
          <w:smallCaps w:val="false"/>
          <w:sz w:val="20"/>
        </w:rPr>
        <w:t>”).</w:t>
      </w:r>
    </w:p>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First Amendment and the provisions of the Employment Agreement, the provisions of this First Amendment shall prevail. Without limiting the generality of the foregoing, the term “Agreement” as used in the Employment Agreement shall be deemed to be the Employment Agreement as amended by this First Amendment.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First Amendment to Employment Agreement as of September 19, 2021.</w:t>
      </w:r>
    </w:p>
    <w:p>
      <w:pPr>
        <w:pStyle w:val="TextBody"/>
        <w:bidi w:val="0"/>
        <w:ind w:left="0" w:right="0" w:firstLine="72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51" w:name="ea028261801ex10-44.htm"/>
      <w:bookmarkStart w:id="52" w:name="ksea028261801ex1044"/>
      <w:bookmarkEnd w:id="51"/>
      <w:bookmarkEnd w:id="52"/>
      <w:r>
        <w:rPr>
          <w:rFonts w:ascii="Times New Roman;Times;Serif" w:hAnsi="Times New Roman;Times;Serif"/>
          <w:b/>
          <w:i w:val="false"/>
          <w:caps w:val="false"/>
          <w:smallCaps w:val="false"/>
          <w:sz w:val="20"/>
        </w:rPr>
        <w:t>Exhibit 10.44 </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to Employment Agreement (this “</w:t>
      </w:r>
      <w:r>
        <w:rPr>
          <w:rFonts w:ascii="Times New Roman;Times;Serif" w:hAnsi="Times New Roman;Times;Serif"/>
          <w:b/>
          <w:i w:val="false"/>
          <w:caps w:val="false"/>
          <w:smallCaps w:val="false"/>
          <w:sz w:val="20"/>
        </w:rPr>
        <w:t>Second Amendment</w:t>
      </w:r>
      <w:r>
        <w:rPr>
          <w:rFonts w:ascii="Times New Roman;Times;Serif" w:hAnsi="Times New Roman;Times;Serif"/>
          <w:b w:val="false"/>
          <w:i w:val="false"/>
          <w:caps w:val="false"/>
          <w:smallCaps w:val="false"/>
          <w:sz w:val="20"/>
        </w:rPr>
        <w:t xml:space="preserve">”) is entered into as of this 10th day of August 2022 and is effective as of July 1, 2022,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Mamilla 20,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2019, as amended on September 19, 2021 (collectively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2.2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xml:space="preserve"> the following paragraph is hereby added:</w:t>
      </w:r>
    </w:p>
    <w:p>
      <w:pPr>
        <w:pStyle w:val="TextBody"/>
        <w:bidi w:val="0"/>
        <w:jc w:val="left"/>
        <w:rPr>
          <w:caps w:val="false"/>
          <w:smallCaps w:val="false"/>
        </w:rPr>
      </w:pPr>
      <w:r>
        <w:rPr>
          <w:caps w:val="false"/>
          <w:smallCaps w:val="false"/>
        </w:rPr>
        <w:t> </w:t>
      </w:r>
    </w:p>
    <w:p>
      <w:pPr>
        <w:pStyle w:val="TextBody"/>
        <w:bidi w:val="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Executive choose not to use a car as described in this section 2.2, he will be entitled to a gross monthly amount of NIS 5,000 (instead of statutory travel expenses from home to the office and back).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Second Amendment and the provisions of the Employment Agreement, the provisions of this Second Amendment shall prevail. Without limiting the generality of the foregoing, the term “Agreement” as used in the Employment Agreement shall be deemed to be the Employment Agreement as amended by this Second Amendment.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Second Amendment to Employment Agreement as of August 10, 2022.</w:t>
      </w:r>
    </w:p>
    <w:p>
      <w:pPr>
        <w:pStyle w:val="TextBody"/>
        <w:bidi w:val="0"/>
        <w:ind w:left="0" w:right="0" w:firstLine="720"/>
        <w:jc w:val="left"/>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jc w:val="left"/>
        <w:rPr>
          <w:caps w:val="false"/>
          <w:smallCaps w:val="false"/>
        </w:rPr>
      </w:pPr>
      <w:r>
        <w:rPr>
          <w:caps w:val="false"/>
          <w:smallCaps w:val="false"/>
        </w:rPr>
        <w:t> </w:t>
      </w:r>
    </w:p>
    <w:p>
      <w:pPr>
        <w:pStyle w:val="TextBody"/>
        <w:bidi w:val="0"/>
        <w:spacing w:before="0" w:after="120"/>
        <w:jc w:val="right"/>
        <w:rPr>
          <w:rFonts w:ascii="Times New Roman;Times;Serif" w:hAnsi="Times New Roman;Times;Serif"/>
          <w:b/>
          <w:i w:val="false"/>
          <w:caps w:val="false"/>
          <w:smallCaps w:val="false"/>
          <w:sz w:val="20"/>
        </w:rPr>
      </w:pPr>
      <w:bookmarkStart w:id="53" w:name="ea028261801ex10-45.htm"/>
      <w:bookmarkStart w:id="54" w:name="ksea028261801ex1045"/>
      <w:bookmarkEnd w:id="53"/>
      <w:bookmarkEnd w:id="54"/>
      <w:r>
        <w:rPr>
          <w:rFonts w:ascii="Times New Roman;Times;Serif" w:hAnsi="Times New Roman;Times;Serif"/>
          <w:b/>
          <w:i w:val="false"/>
          <w:caps w:val="false"/>
          <w:smallCaps w:val="false"/>
          <w:sz w:val="20"/>
        </w:rPr>
        <w:t>Exhibit 10.45</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1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 Employment Agreement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to Employment Agreement (this “</w:t>
      </w:r>
      <w:r>
        <w:rPr>
          <w:rFonts w:ascii="Times New Roman;Times;Serif" w:hAnsi="Times New Roman;Times;Serif"/>
          <w:b/>
          <w:i w:val="false"/>
          <w:caps w:val="false"/>
          <w:smallCaps w:val="false"/>
          <w:sz w:val="20"/>
        </w:rPr>
        <w:t>Third Amendment</w:t>
      </w:r>
      <w:r>
        <w:rPr>
          <w:rFonts w:ascii="Times New Roman;Times;Serif" w:hAnsi="Times New Roman;Times;Serif"/>
          <w:b w:val="false"/>
          <w:i w:val="false"/>
          <w:caps w:val="false"/>
          <w:smallCaps w:val="false"/>
          <w:sz w:val="20"/>
        </w:rPr>
        <w:t xml:space="preserve">”) is entered into as of April 27, 2023 and is effective as of April 17, 2023,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Mamilla 20,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2019, as amended on September 19, 2021 and as further amended effective July 1, 2022 (collectively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as set forth 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5.2 of the Employment Agreement (Termination Without Cause), will be amended and replaced as follows:</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pPr>
            <w:r>
              <w:rPr>
                <w:u w:val="single"/>
              </w:rPr>
              <w:t>Termination Without Cause.</w:t>
            </w:r>
            <w:r>
              <w:rPr/>
              <w:t xml:space="preserve"> Either the Executive or the Company may terminate the Executive's employment without Cause, for any reason whatsoever, with 60 days prior written notice (the "Notice Period"). </w:t>
            </w:r>
            <w:r>
              <w:rPr>
                <w:shd w:fill="FFFFFF" w:val="clear"/>
              </w:rPr>
              <w:t xml:space="preserve">If the Executive’s employment is terminated by the Company without Cause </w:t>
            </w:r>
            <w:r>
              <w:rPr/>
              <w:t>in connection with a Change in Control (as defined below) that occurs during the period that is three months prior and 12 months after the event, the following provisions shall apply: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The Executive will be entitled to receive 12 months severance, which is defined as base salary plus on-target bonus over the severance period.</w:t>
            </w:r>
          </w:p>
        </w:tc>
      </w:tr>
    </w:tbl>
    <w:p>
      <w:pPr>
        <w:pStyle w:val="TextBody"/>
        <w:bidi w:val="0"/>
        <w:spacing w:before="0" w:after="283"/>
        <w:jc w:val="left"/>
        <w:rPr/>
      </w:pPr>
      <w:r>
        <w:rPr/>
        <w:t> </w:t>
      </w:r>
    </w:p>
    <w:tbl>
      <w:tblPr>
        <w:tblW w:w="10038" w:type="dxa"/>
        <w:jc w:val="left"/>
        <w:tblInd w:w="0" w:type="dxa"/>
        <w:tblLayout w:type="fixed"/>
        <w:tblCellMar>
          <w:top w:w="0" w:type="dxa"/>
          <w:left w:w="0" w:type="dxa"/>
          <w:bottom w:w="0" w:type="dxa"/>
          <w:right w:w="0" w:type="dxa"/>
        </w:tblCellMar>
      </w:tblPr>
      <w:tblGrid>
        <w:gridCol w:w="38"/>
        <w:gridCol w:w="29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710" w:type="dxa"/>
            <w:tcBorders/>
            <w:vAlign w:val="center"/>
          </w:tcPr>
          <w:p>
            <w:pPr>
              <w:pStyle w:val="TableContents"/>
              <w:bidi w:val="0"/>
              <w:spacing w:before="0" w:after="283"/>
              <w:jc w:val="both"/>
              <w:rPr/>
            </w:pPr>
            <w:r>
              <w:rPr/>
              <w:t>The Executive will be entitled to full vesting acceleration of all outstanding unvested equity incentives.</w:t>
            </w:r>
          </w:p>
        </w:tc>
      </w:tr>
    </w:tbl>
    <w:p>
      <w:pPr>
        <w:pStyle w:val="TextBody"/>
        <w:bidi w:val="0"/>
        <w:spacing w:before="0" w:after="283"/>
        <w:jc w:val="left"/>
        <w:rPr/>
      </w:pPr>
      <w:r>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means the sale or disposition, in one or a series of related transactions, of all or substantially all of the assets, or stock, or over fifty percent (50%) of the voting stock to any “person” or “group” (as such terms are defined in Sections 13(d)(3) and 14(d)(2) of the Exchange Act), or any person or group is or becomes the “beneficial owner” (as defined in Rules 13d-3 and 13d-5 under the Exchange Act), directly or indirectly, of more than fifty percent (50%) of the total voting power of the voting stock of the Company, including by way of merger, consolidation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Third Amendment and the provisions of the Employment Agreement, the provisions of this Third Amendment shall prevail. Without limiting the generality of the foregoing, the term “Agreement” as used in the Employment Agreement shall be deemed to be the Employment Agreement as amended by this Third Amendment.</w:t>
      </w:r>
    </w:p>
    <w:p>
      <w:pPr>
        <w:pStyle w:val="TextBody"/>
        <w:bidi w:val="0"/>
        <w:jc w:val="both"/>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Third Amendment to Employment Agreement as of the date first written above.</w:t>
      </w:r>
    </w:p>
    <w:p>
      <w:pPr>
        <w:pStyle w:val="TextBody"/>
        <w:bidi w:val="0"/>
        <w:jc w:val="center"/>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ind w:left="288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8261801ex10-46.htm"/>
      <w:bookmarkStart w:id="56" w:name="ksea028261801ex1046"/>
      <w:bookmarkEnd w:id="55"/>
      <w:bookmarkEnd w:id="56"/>
      <w:r>
        <w:rPr>
          <w:rFonts w:ascii="Times New Roman;Times;Serif" w:hAnsi="Times New Roman;Times;Serif"/>
          <w:b/>
          <w:i w:val="false"/>
          <w:caps w:val="false"/>
          <w:smallCaps w:val="false"/>
          <w:sz w:val="20"/>
        </w:rPr>
        <w:t>Exhibit 10.46</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to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Employment Agreement (this “</w:t>
      </w:r>
      <w:r>
        <w:rPr>
          <w:rFonts w:ascii="Times New Roman;Times;Serif" w:hAnsi="Times New Roman;Times;Serif"/>
          <w:b/>
          <w:i w:val="false"/>
          <w:caps w:val="false"/>
          <w:smallCaps w:val="false"/>
          <w:sz w:val="20"/>
        </w:rPr>
        <w:t>Fourth Amendment</w:t>
      </w:r>
      <w:r>
        <w:rPr>
          <w:rFonts w:ascii="Times New Roman;Times;Serif" w:hAnsi="Times New Roman;Times;Serif"/>
          <w:b w:val="false"/>
          <w:i w:val="false"/>
          <w:caps w:val="false"/>
          <w:smallCaps w:val="false"/>
          <w:sz w:val="20"/>
        </w:rPr>
        <w:t>”) is entered into as of this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January 2024 and is effective as of January 1, 2024,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2019, as amended on September 19, 2021 and as further amended effective July 1, 2022 and April 17, 2023 (collectively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0"/>
        <w:ind w:left="0" w:right="0" w:hanging="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0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9380" w:type="dxa"/>
            <w:tcBorders/>
            <w:vAlign w:val="center"/>
          </w:tcPr>
          <w:p>
            <w:pPr>
              <w:pStyle w:val="TableContents"/>
              <w:bidi w:val="0"/>
              <w:spacing w:before="0" w:after="283"/>
              <w:jc w:val="both"/>
              <w:rPr/>
            </w:pPr>
            <w:r>
              <w:rPr/>
              <w:t xml:space="preserve">In Section 2.1(a) of the Employment Agreement - </w:t>
            </w:r>
            <w:r>
              <w:rPr>
                <w:u w:val="single"/>
              </w:rPr>
              <w:t>Salary</w:t>
            </w:r>
            <w:r>
              <w:rPr/>
              <w:t>, the following paragraph is hereby added: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0"/>
        <w:gridCol w:w="9877"/>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As</w:t>
            </w:r>
          </w:p>
        </w:tc>
        <w:tc>
          <w:tcPr>
            <w:tcW w:w="9877" w:type="dxa"/>
            <w:tcBorders/>
            <w:vAlign w:val="center"/>
          </w:tcPr>
          <w:p>
            <w:pPr>
              <w:pStyle w:val="TableContents"/>
              <w:bidi w:val="0"/>
              <w:spacing w:before="0" w:after="283"/>
              <w:jc w:val="both"/>
              <w:rPr/>
            </w:pPr>
            <w:r>
              <w:rPr/>
              <w:t>of January 1, 2024, the Executive shall be entitled to a gross monthly salary of NIS 70,840 (the “</w:t>
            </w:r>
            <w:r>
              <w:rPr>
                <w:b/>
              </w:rPr>
              <w:t>Salary</w:t>
            </w:r>
            <w:r>
              <w:rPr/>
              <w:t>”).</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10"/>
        <w:gridCol w:w="9718"/>
      </w:tblGrid>
      <w:tr>
        <w:trPr/>
        <w:tc>
          <w:tcPr>
            <w:tcW w:w="7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2.</w:t>
            </w:r>
          </w:p>
        </w:tc>
        <w:tc>
          <w:tcPr>
            <w:tcW w:w="9718" w:type="dxa"/>
            <w:tcBorders/>
            <w:vAlign w:val="center"/>
          </w:tcPr>
          <w:p>
            <w:pPr>
              <w:pStyle w:val="TableContents"/>
              <w:bidi w:val="0"/>
              <w:spacing w:before="0" w:after="283"/>
              <w:jc w:val="left"/>
              <w:rPr/>
            </w:pPr>
            <w:r>
              <w:rPr/>
              <w:t>The following paragraph shall replace Section 3.2</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pPr>
            <w:r>
              <w:rPr>
                <w:u w:val="single"/>
              </w:rPr>
              <w:t>Keren Hishtalmut</w:t>
            </w:r>
            <w:r>
              <w:rPr/>
              <w:t>. The Company shall make monthly contributions on the Executive's behalf to a recognized advanced study fund (the “</w:t>
            </w:r>
            <w:r>
              <w:rPr>
                <w:b/>
              </w:rPr>
              <w:t>Fund</w:t>
            </w:r>
            <w:r>
              <w:rPr/>
              <w:t>” (“Keren Hishtalmut”) in an amount equal to 7.5% of the Salary up to NIS 64,400. In addition, the Company shall deduct 2.5% from the Salary up to NIS 64,400 and transfer those monies to the Study Fund. The Employee shall bear any and all taxes, which may apply with respect to such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Except for the changes and/or additions stated herein, all the other terms of the Employment Agreement shall remain valid and bind the parties without any change. In the case of a contradiction between the provisions of this Fourth Amendment and the provisions of the Employment Agreement, the provisions of this Fourth Amendment shall prevail. Without limiting the generality of the foregoing, the term “Agreement” as used in the Employment Agreement shall be deemed to be the Employment Agreement as amended by this Fourth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Fourth Amendment to Employment Agreement as of January 8, 2024.</w:t>
      </w:r>
    </w:p>
    <w:p>
      <w:pPr>
        <w:pStyle w:val="TextBody"/>
        <w:bidi w:val="0"/>
        <w:spacing w:before="0" w:after="0"/>
        <w:ind w:left="0" w:right="0" w:hanging="0"/>
        <w:jc w:val="center"/>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7" w:name="ea028261801ex10-47.htm"/>
      <w:bookmarkStart w:id="58" w:name="ksea028261801ex1047"/>
      <w:bookmarkEnd w:id="57"/>
      <w:bookmarkEnd w:id="58"/>
      <w:r>
        <w:rPr>
          <w:rFonts w:ascii="Times New Roman;Times;Serif" w:hAnsi="Times New Roman;Times;Serif"/>
          <w:b/>
          <w:i w:val="false"/>
          <w:caps w:val="false"/>
          <w:smallCaps w:val="false"/>
          <w:sz w:val="20"/>
        </w:rPr>
        <w:t>Exhibit 10.47</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to 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Employment Agreement (this “</w:t>
      </w:r>
      <w:r>
        <w:rPr>
          <w:rFonts w:ascii="Times New Roman;Times;Serif" w:hAnsi="Times New Roman;Times;Serif"/>
          <w:b/>
          <w:i w:val="false"/>
          <w:caps w:val="false"/>
          <w:smallCaps w:val="false"/>
          <w:sz w:val="20"/>
        </w:rPr>
        <w:t>Fourth Amendment</w:t>
      </w:r>
      <w:r>
        <w:rPr>
          <w:rFonts w:ascii="Times New Roman;Times;Serif" w:hAnsi="Times New Roman;Times;Serif"/>
          <w:b w:val="false"/>
          <w:i w:val="false"/>
          <w:caps w:val="false"/>
          <w:smallCaps w:val="false"/>
          <w:sz w:val="20"/>
        </w:rPr>
        <w:t>”) is entered into as of this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November 2024 and is effective as of July 1, 2024,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2019, as amended on September 19, 2021 and as further amended effective July 1, 2022, April 17, 2023 and January 8, 2024 (collectively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2.1(a)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the following paragraph is hereby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317"/>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1, 2024, the Executive shall be entitled to a gross monthly salary of NIS 81,466 (the “</w:t>
      </w:r>
      <w:r>
        <w:rPr>
          <w:rFonts w:ascii="Times New Roman;Times;Serif" w:hAnsi="Times New Roman;Times;Serif"/>
          <w:b/>
          <w:i w:val="false"/>
          <w:caps w:val="false"/>
          <w:smallCaps w:val="false"/>
          <w:sz w:val="20"/>
        </w:rPr>
        <w:t>Salary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Fourth Amendment and the provisions of the Employment Agreement, the provisions of this Fourth Amendment shall prevail. Without limiting the generality of the foregoing, the term “Agreement” as used in the Employment Agreement shall be deemed to be the Employment Agreement as amended by this Fourth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Fourth Amendment to Employment Agreement as of November 7, 2024.</w:t>
      </w:r>
    </w:p>
    <w:p>
      <w:pPr>
        <w:pStyle w:val="TextBody"/>
        <w:bidi w:val="0"/>
        <w:spacing w:before="0" w:after="0"/>
        <w:ind w:left="0" w:right="0" w:hanging="0"/>
        <w:jc w:val="center"/>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center"/>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28261801ex10-48.htm"/>
      <w:bookmarkStart w:id="60" w:name="ksea028261801ex1048"/>
      <w:bookmarkEnd w:id="59"/>
      <w:bookmarkEnd w:id="60"/>
      <w:r>
        <w:rPr>
          <w:rFonts w:ascii="Times New Roman;Times;Serif" w:hAnsi="Times New Roman;Times;Serif"/>
          <w:b/>
          <w:i w:val="false"/>
          <w:caps w:val="false"/>
          <w:smallCaps w:val="false"/>
          <w:sz w:val="20"/>
        </w:rPr>
        <w:t>Exhibit 10.48</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Sixth Amendment to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Sixth Amendment to Employment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entered into as of this 31 day of December 2025 and is effective as of January 1, 2026, by and between </w:t>
      </w:r>
      <w:r>
        <w:rPr>
          <w:rFonts w:ascii="Times New Roman;Times;Serif" w:hAnsi="Times New Roman;Times;Serif"/>
          <w:b/>
          <w:i w:val="false"/>
          <w:caps w:val="false"/>
          <w:smallCaps w:val="false"/>
          <w:sz w:val="20"/>
        </w:rPr>
        <w:t>Joshua Hexter</w:t>
      </w:r>
      <w:r>
        <w:rPr>
          <w:rFonts w:ascii="Times New Roman;Times;Serif" w:hAnsi="Times New Roman;Times;Serif"/>
          <w:b w:val="false"/>
          <w:i w:val="false"/>
          <w:caps w:val="false"/>
          <w:smallCaps w:val="false"/>
          <w:sz w:val="20"/>
        </w:rPr>
        <w:t>, an individual residing in Jerusalem,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August 18, 2019, as amended on September 19, 2021 and as further amended effective July 1, 2022, April 17, 2023, January 8, 2024 and November 7, 2024 (collectively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2.1(a)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the following paragraph is hereby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the Executive shall be entitled to a gross monthly salary of NIS 86,761 (the “</w:t>
      </w:r>
      <w:r>
        <w:rPr>
          <w:rFonts w:ascii="Times New Roman;Times;Serif" w:hAnsi="Times New Roman;Times;Serif"/>
          <w:b/>
          <w:i w:val="false"/>
          <w:caps w:val="false"/>
          <w:smallCaps w:val="false"/>
          <w:sz w:val="20"/>
        </w:rPr>
        <w:t>Salary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Amendment and the provisions of the Employment Agreement, the provisions of this Amendment shall prevail. Without limiting the generality of the foregoing, the term “Agreement” as used in the Employment Agreement shall be deemed to be the Employment Agreement as amended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to Employment Agreement as of December 31, 2025.</w:t>
      </w:r>
    </w:p>
    <w:p>
      <w:pPr>
        <w:pStyle w:val="TextBody"/>
        <w:bidi w:val="0"/>
        <w:spacing w:before="0" w:after="0"/>
        <w:ind w:left="0" w:right="0" w:hanging="0"/>
        <w:jc w:val="center"/>
        <w:rPr>
          <w:caps w:val="false"/>
          <w:smallCaps w:val="false"/>
        </w:rPr>
      </w:pPr>
      <w:r>
        <w:rPr>
          <w:caps w:val="false"/>
          <w:smallCaps w:val="false"/>
        </w:rPr>
        <w:t>  </w:t>
      </w:r>
    </w:p>
    <w:tbl>
      <w:tblPr>
        <w:tblW w:w="2090" w:type="dxa"/>
        <w:jc w:val="left"/>
        <w:tblInd w:w="0" w:type="dxa"/>
        <w:tblLayout w:type="fixed"/>
        <w:tblCellMar>
          <w:top w:w="0" w:type="dxa"/>
          <w:left w:w="0" w:type="dxa"/>
          <w:bottom w:w="0" w:type="dxa"/>
          <w:right w:w="0" w:type="dxa"/>
        </w:tblCellMar>
      </w:tblPr>
      <w:tblGrid>
        <w:gridCol w:w="75"/>
        <w:gridCol w:w="2015"/>
      </w:tblGrid>
      <w:tr>
        <w:trPr/>
        <w:tc>
          <w:tcPr>
            <w:tcW w:w="75" w:type="dxa"/>
            <w:tcBorders/>
            <w:vAlign w:val="center"/>
          </w:tcPr>
          <w:p>
            <w:pPr>
              <w:pStyle w:val="TableContents"/>
              <w:bidi w:val="0"/>
              <w:spacing w:before="0" w:after="283"/>
              <w:jc w:val="center"/>
              <w:rPr/>
            </w:pPr>
            <w:r>
              <w:rPr/>
              <w:t> </w:t>
            </w:r>
          </w:p>
        </w:tc>
        <w:tc>
          <w:tcPr>
            <w:tcW w:w="2015" w:type="dxa"/>
            <w:tcBorders/>
            <w:vAlign w:val="center"/>
          </w:tcPr>
          <w:p>
            <w:pPr>
              <w:pStyle w:val="TableContents"/>
              <w:bidi w:val="0"/>
              <w:spacing w:before="0" w:after="283"/>
              <w:jc w:val="left"/>
              <w:rPr>
                <w:b/>
              </w:rPr>
            </w:pPr>
            <w:r>
              <w:rPr>
                <w:b/>
              </w:rPr>
              <w:t>Oramed Ltd.</w:t>
            </w:r>
          </w:p>
        </w:tc>
      </w:tr>
      <w:tr>
        <w:trPr/>
        <w:tc>
          <w:tcPr>
            <w:tcW w:w="75" w:type="dxa"/>
            <w:tcBorders/>
            <w:vAlign w:val="center"/>
          </w:tcPr>
          <w:p>
            <w:pPr>
              <w:pStyle w:val="TableContents"/>
              <w:bidi w:val="0"/>
              <w:spacing w:before="0" w:after="283"/>
              <w:jc w:val="center"/>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Nadav Kidron, CEO</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center"/>
              <w:rPr/>
            </w:pPr>
            <w:r>
              <w:rPr/>
              <w:t> </w:t>
            </w:r>
          </w:p>
        </w:tc>
        <w:tc>
          <w:tcPr>
            <w:tcW w:w="2015" w:type="dxa"/>
            <w:tcBorders>
              <w:bottom w:val="single" w:sz="12" w:space="0" w:color="000000"/>
            </w:tcBorders>
            <w:tcMar>
              <w:bottom w:w="28" w:type="dxa"/>
            </w:tcMar>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Joshua Hexter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1" w:name="ea028261801ex10-49.htm"/>
      <w:bookmarkStart w:id="62" w:name="ksea028261801ex1049"/>
      <w:bookmarkEnd w:id="61"/>
      <w:bookmarkEnd w:id="62"/>
      <w:r>
        <w:rPr>
          <w:rFonts w:ascii="Times New Roman;Times;Serif" w:hAnsi="Times New Roman;Times;Serif"/>
          <w:b/>
          <w:i w:val="false"/>
          <w:caps w:val="false"/>
          <w:smallCaps w:val="false"/>
          <w:sz w:val="20"/>
        </w:rPr>
        <w:t>Exhibit 10.49</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CONSULTING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Consulting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effective as of January 1, 2026, by and between </w:t>
      </w: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t>, a company incorporated under the laws of the State of Delaware, with an address at 20 Mamilla Ave.,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Avi Gabay, </w:t>
      </w:r>
      <w:r>
        <w:rPr>
          <w:rFonts w:ascii="Times New Roman;Times;Serif" w:hAnsi="Times New Roman;Times;Serif"/>
          <w:b w:val="false"/>
          <w:i w:val="false"/>
          <w:caps w:val="false"/>
          <w:smallCaps w:val="false"/>
          <w:sz w:val="20"/>
        </w:rPr>
        <w:t>an individual, (I.D. no. 066534629) with an address at 4 Shalom Shemen, Petach Tikva (the “</w:t>
      </w:r>
      <w:r>
        <w:rPr>
          <w:rFonts w:ascii="Times New Roman;Times;Serif" w:hAnsi="Times New Roman;Times;Serif"/>
          <w:b/>
          <w:i w:val="false"/>
          <w:caps w:val="false"/>
          <w:smallCaps w:val="false"/>
          <w:sz w:val="20"/>
        </w:rPr>
        <w:t>Consultant</w:t>
      </w:r>
      <w:r>
        <w:rPr>
          <w:rFonts w:ascii="Times New Roman;Times;Serif" w:hAnsi="Times New Roman;Times;Serif"/>
          <w:b w:val="false"/>
          <w:i w:val="false"/>
          <w:caps w:val="false"/>
          <w:smallCaps w:val="false"/>
          <w:sz w:val="20"/>
        </w:rPr>
        <w:t>”).</w:t>
      </w:r>
    </w:p>
    <w:p>
      <w:pPr>
        <w:pStyle w:val="TextBody"/>
        <w:bidi w:val="0"/>
        <w:spacing w:before="0" w:after="0"/>
        <w:ind w:left="2160" w:right="0" w:hanging="21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20"/>
        <w:gridCol w:w="8985"/>
      </w:tblGrid>
      <w:tr>
        <w:trPr/>
        <w:tc>
          <w:tcPr>
            <w:tcW w:w="1220" w:type="dxa"/>
            <w:tcBorders/>
            <w:vAlign w:val="center"/>
          </w:tcPr>
          <w:p>
            <w:pPr>
              <w:pStyle w:val="TableContents"/>
              <w:bidi w:val="0"/>
              <w:spacing w:before="0" w:after="283"/>
              <w:jc w:val="left"/>
              <w:rPr/>
            </w:pPr>
            <w:r>
              <w:rPr/>
              <w:t>WHEREAS</w:t>
            </w:r>
          </w:p>
        </w:tc>
        <w:tc>
          <w:tcPr>
            <w:tcW w:w="8985" w:type="dxa"/>
            <w:tcBorders/>
            <w:vAlign w:val="center"/>
          </w:tcPr>
          <w:p>
            <w:pPr>
              <w:pStyle w:val="TableContents"/>
              <w:bidi w:val="0"/>
              <w:spacing w:before="0" w:after="283"/>
              <w:jc w:val="both"/>
              <w:rPr/>
            </w:pPr>
            <w:r>
              <w:rPr/>
              <w:t>the Company wishes to obtain consulting services from the Consultant and the Consultant wishes to provide the Company with consulting services as an external consultant to the and pursuant to the terms and conditions of this Agreement; and</w:t>
            </w:r>
          </w:p>
        </w:tc>
      </w:tr>
    </w:tbl>
    <w:p>
      <w:pPr>
        <w:pStyle w:val="TextBody"/>
        <w:bidi w:val="0"/>
        <w:spacing w:before="0" w:after="0"/>
        <w:ind w:left="2160" w:right="0" w:hanging="216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220"/>
        <w:gridCol w:w="7280"/>
      </w:tblGrid>
      <w:tr>
        <w:trPr/>
        <w:tc>
          <w:tcPr>
            <w:tcW w:w="1220" w:type="dxa"/>
            <w:tcBorders/>
            <w:vAlign w:val="center"/>
          </w:tcPr>
          <w:p>
            <w:pPr>
              <w:pStyle w:val="TableContents"/>
              <w:bidi w:val="0"/>
              <w:spacing w:before="0" w:after="283"/>
              <w:jc w:val="left"/>
              <w:rPr/>
            </w:pPr>
            <w:r>
              <w:rPr/>
              <w:t>WHEREAS</w:t>
            </w:r>
          </w:p>
        </w:tc>
        <w:tc>
          <w:tcPr>
            <w:tcW w:w="7280" w:type="dxa"/>
            <w:tcBorders/>
            <w:vAlign w:val="center"/>
          </w:tcPr>
          <w:p>
            <w:pPr>
              <w:pStyle w:val="TableContents"/>
              <w:bidi w:val="0"/>
              <w:spacing w:before="0" w:after="283"/>
              <w:jc w:val="both"/>
              <w:rPr/>
            </w:pPr>
            <w:r>
              <w:rPr/>
              <w:t>the parties wish to regulate their legal relations as set forth in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hereby agree as follows: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1.</w:t>
            </w:r>
          </w:p>
        </w:tc>
        <w:tc>
          <w:tcPr>
            <w:tcW w:w="9991" w:type="dxa"/>
            <w:tcBorders/>
            <w:vAlign w:val="center"/>
          </w:tcPr>
          <w:p>
            <w:pPr>
              <w:pStyle w:val="TableContents"/>
              <w:bidi w:val="0"/>
              <w:spacing w:before="0" w:after="283"/>
              <w:jc w:val="both"/>
              <w:rPr/>
            </w:pPr>
            <w:r>
              <w:rPr>
                <w:u w:val="single"/>
              </w:rPr>
              <w:t>Appointment</w:t>
            </w:r>
            <w:r>
              <w:rPr/>
              <w:t>. The Company hereby appoints the Consultant, and the Consultant hereby agrees to serve the Company, in the capacity of a consultant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u w:val="single"/>
              </w:rPr>
              <w:t>The Consulting Services</w:t>
            </w:r>
            <w:r>
              <w:rPr/>
              <w:t>. Until the termination of this Agreement, the Consultant shall, as and when requested by the Company, act as a consultant and render his assistance and participation as the Chief Financial Officer of the Company, giving the full benefit of his knowledge, expertise, technical skill and ingenuity, in all matters involved in or relating to the business thereof (the “</w:t>
            </w:r>
            <w:r>
              <w:rPr>
                <w:b/>
              </w:rPr>
              <w:t>Consulting Services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3.</w:t>
            </w:r>
          </w:p>
        </w:tc>
        <w:tc>
          <w:tcPr>
            <w:tcW w:w="10001" w:type="dxa"/>
            <w:tcBorders/>
            <w:vAlign w:val="center"/>
          </w:tcPr>
          <w:p>
            <w:pPr>
              <w:pStyle w:val="TableContents"/>
              <w:bidi w:val="0"/>
              <w:spacing w:before="0" w:after="283"/>
              <w:jc w:val="both"/>
              <w:rPr/>
            </w:pPr>
            <w:r>
              <w:rPr>
                <w:u w:val="single"/>
              </w:rPr>
              <w:t>Supervision</w:t>
            </w:r>
            <w:r>
              <w:rPr/>
              <w:t>. While acting as a consultant for the Company, the Consultant shall be under the supervision of the Chief Executive Officer (the “</w:t>
            </w:r>
            <w:r>
              <w:rPr>
                <w:b/>
              </w:rPr>
              <w:t>Manager</w:t>
            </w:r>
            <w:r>
              <w:rPr/>
              <w:t>”) and shall report to and receive instructions from the Manager.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90" w:type="dxa"/>
            <w:tcBorders/>
            <w:vAlign w:val="center"/>
          </w:tcPr>
          <w:p>
            <w:pPr>
              <w:pStyle w:val="TableContents"/>
              <w:bidi w:val="0"/>
              <w:spacing w:before="0" w:after="283"/>
              <w:jc w:val="both"/>
              <w:rPr/>
            </w:pPr>
            <w:r>
              <w:rPr>
                <w:u w:val="single"/>
              </w:rPr>
              <w:t>Commencement of the Agreement</w:t>
            </w:r>
            <w:r>
              <w:rPr/>
              <w:t>. The contractual relationship pursuant to this Agreement commenced on January 1, 2026 (the “</w:t>
            </w:r>
            <w:r>
              <w:rPr>
                <w:b/>
              </w:rPr>
              <w:t>Commencement Date</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5.</w:t>
            </w:r>
          </w:p>
        </w:tc>
        <w:tc>
          <w:tcPr>
            <w:tcW w:w="9990" w:type="dxa"/>
            <w:tcBorders/>
            <w:vAlign w:val="center"/>
          </w:tcPr>
          <w:p>
            <w:pPr>
              <w:pStyle w:val="TableContents"/>
              <w:bidi w:val="0"/>
              <w:spacing w:before="0" w:after="283"/>
              <w:jc w:val="both"/>
              <w:rPr/>
            </w:pPr>
            <w:r>
              <w:rPr>
                <w:u w:val="single"/>
              </w:rPr>
              <w:t>Term</w:t>
            </w:r>
            <w:r>
              <w:rPr/>
              <w:t>. Either party may terminate this Agreement, for any reason whatsoever, upon the provision of a 60 day prior written notice (the “</w:t>
            </w:r>
            <w:r>
              <w:rPr>
                <w:b/>
              </w:rPr>
              <w:t>Prior Written Notice</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may, at any time following the Commencement Date, terminate this Agreement immediately by provision of a written notice (and without any further notice, including the Prior Written Notice referred to above), in which case the termination date of this Agreement shall be the effective date of such notice of immediate termination, in any of the following circumstances:</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t>Commission of a criminal offence, breach of trust or action adverse to the Company, its monies, property, assets or employees by the Consultant.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22"/>
        <w:gridCol w:w="9733"/>
      </w:tblGrid>
      <w:tr>
        <w:trPr/>
        <w:tc>
          <w:tcPr>
            <w:tcW w:w="5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pPr>
            <w:r>
              <w:rPr/>
              <w:t>5.2</w:t>
            </w:r>
          </w:p>
        </w:tc>
        <w:tc>
          <w:tcPr>
            <w:tcW w:w="9733" w:type="dxa"/>
            <w:tcBorders/>
            <w:vAlign w:val="center"/>
          </w:tcPr>
          <w:p>
            <w:pPr>
              <w:pStyle w:val="TableContents"/>
              <w:bidi w:val="0"/>
              <w:spacing w:before="0" w:after="283"/>
              <w:jc w:val="both"/>
              <w:rPr/>
            </w:pPr>
            <w:r>
              <w:rPr/>
              <w:t>Breach of any of the Consultant’s undertakings as set forth in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9848" w:type="dxa"/>
            <w:tcBorders/>
            <w:vAlign w:val="center"/>
          </w:tcPr>
          <w:p>
            <w:pPr>
              <w:pStyle w:val="TableContents"/>
              <w:bidi w:val="0"/>
              <w:spacing w:before="0" w:after="283"/>
              <w:jc w:val="both"/>
              <w:rPr/>
            </w:pPr>
            <w:r>
              <w:rPr/>
              <w:t>The Consultant is for any reason unable to provide the Consulting Services at a reasonable time as required by the Company pursuant to this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6.</w:t>
            </w:r>
          </w:p>
        </w:tc>
        <w:tc>
          <w:tcPr>
            <w:tcW w:w="10011" w:type="dxa"/>
            <w:tcBorders/>
            <w:vAlign w:val="center"/>
          </w:tcPr>
          <w:p>
            <w:pPr>
              <w:pStyle w:val="TableContents"/>
              <w:bidi w:val="0"/>
              <w:spacing w:before="0" w:after="283"/>
              <w:jc w:val="both"/>
              <w:rPr/>
            </w:pPr>
            <w:r>
              <w:rPr>
                <w:u w:val="single"/>
              </w:rPr>
              <w:t>Compensation</w:t>
            </w:r>
            <w:r>
              <w:rPr/>
              <w:t>. Effective January 1, 2026 (inclusive), the Company shall pay to the Consultant in consideration for the performance of the Consulting Services, a gross monthly amount of NIS 40,392 + VAT if applicable (the “</w:t>
            </w:r>
            <w:r>
              <w:rPr>
                <w:b/>
              </w:rPr>
              <w:t>Consideration</w:t>
            </w:r>
            <w:r>
              <w:rPr/>
              <w:t>”), subject to the receipt by the Company of an invoice from the Consultant.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7.</w:t>
            </w:r>
          </w:p>
        </w:tc>
        <w:tc>
          <w:tcPr>
            <w:tcW w:w="10018" w:type="dxa"/>
            <w:tcBorders/>
            <w:vAlign w:val="center"/>
          </w:tcPr>
          <w:p>
            <w:pPr>
              <w:pStyle w:val="TableContents"/>
              <w:bidi w:val="0"/>
              <w:spacing w:before="0" w:after="283"/>
              <w:jc w:val="both"/>
              <w:rPr/>
            </w:pPr>
            <w:r>
              <w:rPr>
                <w:u w:val="single"/>
              </w:rPr>
              <w:t>Reimbursement of Expenses</w:t>
            </w:r>
            <w:r>
              <w:rPr/>
              <w:t xml:space="preserve"> – The Consultant will be reimbursed for any reasonable expenses incurred in connection with the performance of the Consulting Services under this Agreement subject to the Company’s prior written authorization, and provided, that, the Consultant submits such verification of the expenses as the Company may require. The Company will reimburse the Consultant for previously approved expenses in accordance with the Company’s then applicable expense reimbursement policy.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shall reimburse the Consultant for pre-approved travel expenses incurred in connection with the performance of the Consulting Services under this Agreement.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8.</w:t>
            </w:r>
          </w:p>
        </w:tc>
        <w:tc>
          <w:tcPr>
            <w:tcW w:w="10005" w:type="dxa"/>
            <w:tcBorders/>
            <w:vAlign w:val="center"/>
          </w:tcPr>
          <w:p>
            <w:pPr>
              <w:pStyle w:val="TableContents"/>
              <w:bidi w:val="0"/>
              <w:spacing w:before="0" w:after="283"/>
              <w:jc w:val="both"/>
              <w:rPr/>
            </w:pPr>
            <w:r>
              <w:rPr>
                <w:u w:val="single"/>
              </w:rPr>
              <w:t>Directors’ and Officers’ Liability Coverage</w:t>
            </w:r>
            <w:r>
              <w:rPr/>
              <w:t>. The Company shall provide the Consultant, (including his heirs, executors and administrators) with coverage under a standard directors’ and officers’ liability insurance policy at the Company’s expense.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283"/>
              <w:jc w:val="both"/>
              <w:rPr/>
            </w:pPr>
            <w:r>
              <w:rPr>
                <w:u w:val="single"/>
              </w:rPr>
              <w:t>Tax Withholding</w:t>
            </w:r>
            <w:r>
              <w:rPr/>
              <w:t>. Notwithstanding the above, the Company has the right to withhold any amounts from payments made to the Consultant under this Agreement, including, inter alia, the Consideration, to the extent necessary to comply with any applicable tax laws.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10.</w:t>
            </w:r>
          </w:p>
        </w:tc>
        <w:tc>
          <w:tcPr>
            <w:tcW w:w="9892" w:type="dxa"/>
            <w:tcBorders/>
            <w:vAlign w:val="center"/>
          </w:tcPr>
          <w:p>
            <w:pPr>
              <w:pStyle w:val="TableContents"/>
              <w:bidi w:val="0"/>
              <w:spacing w:before="0" w:after="283"/>
              <w:jc w:val="both"/>
              <w:rPr/>
            </w:pPr>
            <w:r>
              <w:rPr>
                <w:u w:val="single"/>
              </w:rPr>
              <w:t>Confidentiality, Non-Competition and Intellectual Property</w:t>
            </w:r>
            <w:r>
              <w:rPr/>
              <w:t xml:space="preserve">. The Consultant agrees during the term of this Agreement and thereafter to be bound by, and shall have executed and delivered to the Company, the Proprietary Information, Non-Compete and Protection of Intellectual Property Undertaking, substantially in the form of </w:t>
            </w:r>
            <w:r>
              <w:rPr>
                <w:b/>
              </w:rPr>
              <w:t>Exhibit A</w:t>
            </w:r>
            <w:r>
              <w:rPr/>
              <w:t xml:space="preserve"> hereto.</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11.</w:t>
            </w:r>
          </w:p>
        </w:tc>
        <w:tc>
          <w:tcPr>
            <w:tcW w:w="9899" w:type="dxa"/>
            <w:tcBorders/>
            <w:vAlign w:val="center"/>
          </w:tcPr>
          <w:p>
            <w:pPr>
              <w:pStyle w:val="TableContents"/>
              <w:bidi w:val="0"/>
              <w:spacing w:before="0" w:after="283"/>
              <w:jc w:val="both"/>
              <w:rPr/>
            </w:pPr>
            <w:r>
              <w:rPr>
                <w:u w:val="single"/>
              </w:rPr>
              <w:t>No Conflict of Interest</w:t>
            </w:r>
            <w:r>
              <w:rPr/>
              <w:t>. The Consultant agrees during the term of the Agreement not to accept any work or enter into any contract or understanding or accept an obligation, inconsistent or incompatible with the Consultant’s obligations under this Agreement or the scope of the Consulting Services. The Consultant warrants that there is no other existing contract or duty on the Consultant’s part inconsistent with this Agreement. The Consultant further agrees not to disclose to the Company, or induce the Company to use any confidential information that belongs to anyone other than the Company or the Consultant.</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12.</w:t>
            </w:r>
          </w:p>
        </w:tc>
        <w:tc>
          <w:tcPr>
            <w:tcW w:w="9902" w:type="dxa"/>
            <w:tcBorders/>
            <w:vAlign w:val="center"/>
          </w:tcPr>
          <w:p>
            <w:pPr>
              <w:pStyle w:val="TableContents"/>
              <w:bidi w:val="0"/>
              <w:spacing w:before="0" w:after="283"/>
              <w:jc w:val="both"/>
              <w:rPr/>
            </w:pPr>
            <w:r>
              <w:rPr>
                <w:u w:val="single"/>
              </w:rPr>
              <w:t>Independent Consultant Relationship</w:t>
            </w:r>
            <w:r>
              <w:rPr/>
              <w:t>. The Consultant hereby declares and undertakes, that its relationship with the Company will be that of an independent consultant and nothing in this Agreement should be construed to create a partnership, joint venture, or employer-employee relationship between the Company and the Consultant. The Consultant agrees, that he will not be entitled to any of the benefits that the Company may make available to its employees, such as group insurance, profit sharing or retirement benefits, unless otherwise mentioned herein. Furthermore, The Consultant agrees that no title that the Consultant shall carry while acting in the capacity of a consultant of the Company, nor any conduct by the Company or the Consultant, shall derogate from this Section 12.</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Consultant will be solely responsible for all tax returns and payments required to be filed with or made to any tax authority with respect to the Consultant’s performance of the Consulting Services and receipt of fees under this Agreement. Because the Consultant is an independent contractor, the Company will not withhold or make payments for National Insurance Institute; make unemployment insurance or disability insurance contributions; or obtain worker’s compensation insurance on the Consultant’s behalf.</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13.</w:t>
            </w:r>
          </w:p>
        </w:tc>
        <w:tc>
          <w:tcPr>
            <w:tcW w:w="9899" w:type="dxa"/>
            <w:tcBorders/>
            <w:vAlign w:val="center"/>
          </w:tcPr>
          <w:p>
            <w:pPr>
              <w:pStyle w:val="TableContents"/>
              <w:bidi w:val="0"/>
              <w:spacing w:before="0" w:after="283"/>
              <w:jc w:val="both"/>
              <w:rPr/>
            </w:pPr>
            <w:r>
              <w:rPr/>
              <w:t>Without derogating from any of the above, should it be held by any competent judicial authority or any governmental authority, that the relationship between each of Consultant and the Company is one of employer and employee; and/or in the event that the Company shall be demanded and/or obligated, to pay any of the Consultant any amount, or give them any right, deriving from the existence of an employer-employee relationship between the Consultant and the Company or usually paid to employees; all of the following provisions shall apply: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Retroactively, from the first date of Consultant’s engagement with the Company (the “</w:t>
            </w:r>
            <w:r>
              <w:rPr>
                <w:b/>
              </w:rPr>
              <w:t>Effective Date</w:t>
            </w:r>
            <w:r>
              <w:rPr/>
              <w:t>”) and in lieu of any remuneration paid to Consultant (including bonuses, benefits and expenses), Consultant will be deemed to have been entitled only to a gross monthly salary (including for all over-time hours, if relevant) in an amount equal to 150% of the gross monthly salary of the Company’s highest paid executive officer. Consultant will immediately return to the Company any amount paid to it beyond the above gross salary. Any entitlements as an employee (if at all) for Consultant, will be calculated on the base of the above salary;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The Company shall be entitled to set off from the amounts due to Consultant in accordance with any source, the amounts which the Consultant will be liable to refund to the Company pursuant to Section 13.1 or in accordance with any other source;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13.3</w:t>
            </w:r>
          </w:p>
        </w:tc>
        <w:tc>
          <w:tcPr>
            <w:tcW w:w="9728" w:type="dxa"/>
            <w:tcBorders/>
            <w:vAlign w:val="center"/>
          </w:tcPr>
          <w:p>
            <w:pPr>
              <w:pStyle w:val="TableContents"/>
              <w:bidi w:val="0"/>
              <w:spacing w:before="0" w:after="283"/>
              <w:jc w:val="both"/>
              <w:rPr/>
            </w:pPr>
            <w:r>
              <w:rPr/>
              <w:t>Consultant shall indemnify the Company for any and all costs, liabilities and expenses it may have in connection with such demand and/or obligation, including the economic value of such right and legal expenses.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5"/>
        <w:gridCol w:w="9893"/>
      </w:tblGrid>
      <w:tr>
        <w:trPr/>
        <w:tc>
          <w:tcPr>
            <w:tcW w:w="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14.</w:t>
            </w:r>
          </w:p>
        </w:tc>
        <w:tc>
          <w:tcPr>
            <w:tcW w:w="9893" w:type="dxa"/>
            <w:tcBorders/>
            <w:vAlign w:val="center"/>
          </w:tcPr>
          <w:p>
            <w:pPr>
              <w:pStyle w:val="TableContents"/>
              <w:bidi w:val="0"/>
              <w:spacing w:before="0" w:after="283"/>
              <w:jc w:val="both"/>
              <w:rPr/>
            </w:pPr>
            <w:r>
              <w:rPr/>
              <w:t>Should it be held by the tax authorities, including the Israeli National Insurance Institute, that the Company is required or obligated to pay any amount or bear any cost deriving from the existence of an employer-employee relationship between the Consultant and the Company or usually paid to employees; all of the following provisions shall apply: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14.1</w:t>
            </w:r>
          </w:p>
        </w:tc>
        <w:tc>
          <w:tcPr>
            <w:tcW w:w="9728" w:type="dxa"/>
            <w:tcBorders/>
            <w:vAlign w:val="center"/>
          </w:tcPr>
          <w:p>
            <w:pPr>
              <w:pStyle w:val="TableContents"/>
              <w:bidi w:val="0"/>
              <w:spacing w:before="0" w:after="283"/>
              <w:jc w:val="both"/>
              <w:rPr/>
            </w:pPr>
            <w:r>
              <w:rPr/>
              <w:t>The Company shall be entitled to set off from the amounts due to Consultant in accordance with any source, the amounts which the Consultant will be liable to refund to the Company pursuant to Section 13.1 or in accordance with any other source;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14.2</w:t>
            </w:r>
          </w:p>
        </w:tc>
        <w:tc>
          <w:tcPr>
            <w:tcW w:w="9728" w:type="dxa"/>
            <w:tcBorders/>
            <w:vAlign w:val="center"/>
          </w:tcPr>
          <w:p>
            <w:pPr>
              <w:pStyle w:val="TableContents"/>
              <w:bidi w:val="0"/>
              <w:spacing w:before="0" w:after="283"/>
              <w:jc w:val="both"/>
              <w:rPr/>
            </w:pPr>
            <w:r>
              <w:rPr/>
              <w:t>Consultant shall indemnify the Company for any and all costs, liabilities and expenses it may have in connection with such demand and/or obligation, including the economic value of such right and legal expenses.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6"/>
        <w:gridCol w:w="9882"/>
      </w:tblGrid>
      <w:tr>
        <w:trPr/>
        <w:tc>
          <w:tcPr>
            <w:tcW w:w="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15.</w:t>
            </w:r>
          </w:p>
        </w:tc>
        <w:tc>
          <w:tcPr>
            <w:tcW w:w="9882" w:type="dxa"/>
            <w:tcBorders/>
            <w:vAlign w:val="center"/>
          </w:tcPr>
          <w:p>
            <w:pPr>
              <w:pStyle w:val="TableContents"/>
              <w:bidi w:val="0"/>
              <w:spacing w:before="0" w:after="283"/>
              <w:jc w:val="both"/>
              <w:rPr/>
            </w:pPr>
            <w:r>
              <w:rPr>
                <w:u w:val="single"/>
              </w:rPr>
              <w:t>Consultant Representation and Warranties</w:t>
            </w:r>
            <w:r>
              <w:rPr>
                <w:smallCaps/>
              </w:rPr>
              <w:t xml:space="preserve">. </w:t>
            </w:r>
            <w:r>
              <w:rPr/>
              <w:t>The Consultant hereby represents and warrants that the Consultant has full right and power to enter into and perform this Agreement without the consent of any third party.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16.</w:t>
            </w:r>
          </w:p>
        </w:tc>
        <w:tc>
          <w:tcPr>
            <w:tcW w:w="9896" w:type="dxa"/>
            <w:tcBorders/>
            <w:vAlign w:val="center"/>
          </w:tcPr>
          <w:p>
            <w:pPr>
              <w:pStyle w:val="TableContents"/>
              <w:bidi w:val="0"/>
              <w:spacing w:before="0" w:after="283"/>
              <w:jc w:val="both"/>
              <w:rPr/>
            </w:pPr>
            <w:r>
              <w:rPr>
                <w:u w:val="single"/>
              </w:rPr>
              <w:t>Return of Company Property</w:t>
            </w:r>
            <w:r>
              <w:rPr/>
              <w:t>. Upon termination of this Agreement or earlier as requested by the Company, the Consultant will deliver to the Company any and all drawings, notes, memoranda, specifications, devices, electronic devices, formulas, and documents, together with all copies thereof, and any other material containing or disclosing any Company Work Product, Third Party Information or Proprietary Information of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and software stored on magnetic and other media that cannot be returned shall be destroyed by the Consultant together with all copies thereof.</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2"/>
        <w:gridCol w:w="1449"/>
        <w:gridCol w:w="8584"/>
      </w:tblGrid>
      <w:tr>
        <w:trPr/>
        <w:tc>
          <w:tcPr>
            <w:tcW w:w="1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pPr>
            <w:r>
              <w:rPr/>
              <w:t>17.</w:t>
            </w:r>
          </w:p>
        </w:tc>
        <w:tc>
          <w:tcPr>
            <w:tcW w:w="8584" w:type="dxa"/>
            <w:tcBorders/>
            <w:vAlign w:val="center"/>
          </w:tcPr>
          <w:p>
            <w:pPr>
              <w:pStyle w:val="TableContents"/>
              <w:bidi w:val="0"/>
              <w:spacing w:before="0" w:after="283"/>
              <w:jc w:val="both"/>
              <w:rPr/>
            </w:pPr>
            <w:r>
              <w:rPr>
                <w:u w:val="single"/>
              </w:rPr>
              <w:t>General Provisions</w:t>
            </w:r>
            <w:r>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17.1</w:t>
            </w:r>
          </w:p>
        </w:tc>
        <w:tc>
          <w:tcPr>
            <w:tcW w:w="9728" w:type="dxa"/>
            <w:tcBorders/>
            <w:vAlign w:val="center"/>
          </w:tcPr>
          <w:p>
            <w:pPr>
              <w:pStyle w:val="TableContents"/>
              <w:bidi w:val="0"/>
              <w:spacing w:before="0" w:after="283"/>
              <w:jc w:val="both"/>
              <w:rPr/>
            </w:pPr>
            <w:r>
              <w:rPr>
                <w:u w:val="single"/>
              </w:rPr>
              <w:t>Severability</w:t>
            </w:r>
            <w:r>
              <w:rPr/>
              <w:t>. In case any one or more of the provisions contained in this Agreement shall, for any reason, be held to be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17.2</w:t>
            </w:r>
          </w:p>
        </w:tc>
        <w:tc>
          <w:tcPr>
            <w:tcW w:w="9728" w:type="dxa"/>
            <w:tcBorders/>
            <w:vAlign w:val="center"/>
          </w:tcPr>
          <w:p>
            <w:pPr>
              <w:pStyle w:val="TableContents"/>
              <w:bidi w:val="0"/>
              <w:spacing w:before="0" w:after="283"/>
              <w:jc w:val="both"/>
              <w:rPr/>
            </w:pPr>
            <w:r>
              <w:rPr>
                <w:u w:val="single"/>
              </w:rPr>
              <w:t>Governing Law</w:t>
            </w:r>
            <w:r>
              <w:rPr/>
              <w:t>. This Agreement shall be governed by and constructed in accordance with the laws of the State of Israel. The parties hereby expressly consent to the exclusive jurisdiction of the court located in Tel-Aviv, Israel, and all disputes or claims arising out of or related to this Agreement shall be exclusively resolved by the courts located in Tel-Aviv, Israel.</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17.3</w:t>
            </w:r>
          </w:p>
        </w:tc>
        <w:tc>
          <w:tcPr>
            <w:tcW w:w="9728" w:type="dxa"/>
            <w:tcBorders/>
            <w:vAlign w:val="center"/>
          </w:tcPr>
          <w:p>
            <w:pPr>
              <w:pStyle w:val="TableContents"/>
              <w:bidi w:val="0"/>
              <w:spacing w:before="0" w:after="283"/>
              <w:jc w:val="both"/>
              <w:rPr/>
            </w:pPr>
            <w:r>
              <w:rPr>
                <w:u w:val="single"/>
              </w:rPr>
              <w:t>No Assignment</w:t>
            </w:r>
            <w:r>
              <w:rPr/>
              <w:t>. This Agreement may not be assigned by the Consultant without the Company’s prior and written consent, and any such attempted assignment shall be void and of no effect.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17.4</w:t>
            </w:r>
          </w:p>
        </w:tc>
        <w:tc>
          <w:tcPr>
            <w:tcW w:w="9728" w:type="dxa"/>
            <w:tcBorders/>
            <w:vAlign w:val="center"/>
          </w:tcPr>
          <w:p>
            <w:pPr>
              <w:pStyle w:val="TableContents"/>
              <w:bidi w:val="0"/>
              <w:spacing w:before="0" w:after="283"/>
              <w:jc w:val="both"/>
              <w:rPr/>
            </w:pPr>
            <w:r>
              <w:rPr>
                <w:u w:val="single"/>
              </w:rPr>
              <w:t>Waiver</w:t>
            </w:r>
            <w:r>
              <w:rPr/>
              <w:t>. No waiver by a party of any breach of this Agreement shall be a waiver of any preceding or succeeding breach. No waiver by a party of any right under this Agreement shall be construed as a waiver of any other right.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17.5</w:t>
            </w:r>
          </w:p>
        </w:tc>
        <w:tc>
          <w:tcPr>
            <w:tcW w:w="9728" w:type="dxa"/>
            <w:tcBorders/>
            <w:vAlign w:val="center"/>
          </w:tcPr>
          <w:p>
            <w:pPr>
              <w:pStyle w:val="TableContents"/>
              <w:bidi w:val="0"/>
              <w:spacing w:before="0" w:after="283"/>
              <w:jc w:val="both"/>
              <w:rPr/>
            </w:pPr>
            <w:r>
              <w:rPr>
                <w:u w:val="single"/>
              </w:rPr>
              <w:t>Entire Agreement</w:t>
            </w:r>
            <w:r>
              <w:rPr/>
              <w:t>. This Agreement is the final, complete and exclusive agreement of the parties with respect to the subject matter hereof and supersedes and merges all prior agreements and/or discussions between the parties. No modification of or amendment to this Agreement, nor any waiver of any rights under this Agreement, will be effective unless in writing and signed by the party to be charged.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17.6</w:t>
            </w:r>
          </w:p>
        </w:tc>
        <w:tc>
          <w:tcPr>
            <w:tcW w:w="9728" w:type="dxa"/>
            <w:tcBorders/>
            <w:vAlign w:val="center"/>
          </w:tcPr>
          <w:p>
            <w:pPr>
              <w:pStyle w:val="TableContents"/>
              <w:bidi w:val="0"/>
              <w:spacing w:before="0" w:after="283"/>
              <w:jc w:val="both"/>
              <w:rPr/>
            </w:pPr>
            <w:r>
              <w:rPr>
                <w:u w:val="single"/>
              </w:rPr>
              <w:t>Notices</w:t>
            </w:r>
            <w:r>
              <w:rPr/>
              <w:t>. All communications under this Agreement shall be in writing and shall be delivered by email, hand or mailed by registered or certified mail, postage prepaid: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8" w:type="dxa"/>
            <w:tcBorders/>
            <w:vAlign w:val="center"/>
          </w:tcPr>
          <w:p>
            <w:pPr>
              <w:pStyle w:val="TableContents"/>
              <w:bidi w:val="0"/>
              <w:spacing w:before="0" w:after="283"/>
              <w:jc w:val="both"/>
              <w:rPr/>
            </w:pPr>
            <w:r>
              <w:rPr/>
              <w:t>If to the Consultant, at 4 Shalom Shemen, Petach Tikva, or at such other address or email address as the Consultant may have furnished the Company in writing; and</w:t>
            </w:r>
          </w:p>
        </w:tc>
      </w:tr>
    </w:tbl>
    <w:p>
      <w:pPr>
        <w:pStyle w:val="TextBody"/>
        <w:bidi w:val="0"/>
        <w:spacing w:before="0" w:after="0"/>
        <w:ind w:left="216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9" w:type="dxa"/>
            <w:tcBorders/>
            <w:vAlign w:val="center"/>
          </w:tcPr>
          <w:p>
            <w:pPr>
              <w:pStyle w:val="TableContents"/>
              <w:bidi w:val="0"/>
              <w:spacing w:before="0" w:after="283"/>
              <w:jc w:val="both"/>
              <w:rPr/>
            </w:pPr>
            <w:r>
              <w:rPr/>
              <w:t>If to the Company, at 20 Mamilla Ave., Jerusalem, Israel 9414904, marked for the attention of the Chief Financial Officer, or at such other address or email address as it may have furnished the Consultant in writing.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so addressed shall be deemed to be given: if delivered by hand or by email, on the date of such delivery; if mailed by courier, on the first business day following the date of such mailing; and if mailed by registered or certified mail, on the third business day after the date of such mailing.</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17.7</w:t>
            </w:r>
          </w:p>
        </w:tc>
        <w:tc>
          <w:tcPr>
            <w:tcW w:w="9728" w:type="dxa"/>
            <w:tcBorders/>
            <w:vAlign w:val="center"/>
          </w:tcPr>
          <w:p>
            <w:pPr>
              <w:pStyle w:val="TableContents"/>
              <w:bidi w:val="0"/>
              <w:spacing w:before="0" w:after="283"/>
              <w:jc w:val="both"/>
              <w:rPr/>
            </w:pPr>
            <w:r>
              <w:rPr>
                <w:u w:val="single"/>
              </w:rPr>
              <w:t>Survival</w:t>
            </w:r>
            <w:r>
              <w:rPr/>
              <w:t>. Sections 10 (including Exhibit A), 12, 13, 14, 16 and 17 shall survive termination of this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17.8</w:t>
            </w:r>
          </w:p>
        </w:tc>
        <w:tc>
          <w:tcPr>
            <w:tcW w:w="9728" w:type="dxa"/>
            <w:tcBorders/>
            <w:vAlign w:val="center"/>
          </w:tcPr>
          <w:p>
            <w:pPr>
              <w:pStyle w:val="TableContents"/>
              <w:bidi w:val="0"/>
              <w:spacing w:before="0" w:after="283"/>
              <w:jc w:val="both"/>
              <w:rPr/>
            </w:pPr>
            <w:r>
              <w:rPr>
                <w:u w:val="single"/>
              </w:rPr>
              <w:t>Section Headings</w:t>
            </w:r>
            <w:r>
              <w:rPr/>
              <w:t>. The headings of the sections and subsections of this Agreement are inserted for convenience only and shall not be deemed to constitute a part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on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7244" w:type="dxa"/>
        <w:jc w:val="left"/>
        <w:tblInd w:w="0" w:type="dxa"/>
        <w:tblLayout w:type="fixed"/>
        <w:tblCellMar>
          <w:top w:w="0" w:type="dxa"/>
          <w:left w:w="0" w:type="dxa"/>
          <w:bottom w:w="0" w:type="dxa"/>
          <w:right w:w="0" w:type="dxa"/>
        </w:tblCellMar>
      </w:tblPr>
      <w:tblGrid>
        <w:gridCol w:w="1102"/>
        <w:gridCol w:w="3207"/>
        <w:gridCol w:w="60"/>
        <w:gridCol w:w="650"/>
        <w:gridCol w:w="2225"/>
      </w:tblGrid>
      <w:tr>
        <w:trPr/>
        <w:tc>
          <w:tcPr>
            <w:tcW w:w="4309" w:type="dxa"/>
            <w:gridSpan w:val="2"/>
            <w:tcBorders/>
            <w:vAlign w:val="center"/>
          </w:tcPr>
          <w:p>
            <w:pPr>
              <w:pStyle w:val="TableContents"/>
              <w:bidi w:val="0"/>
              <w:spacing w:before="0" w:after="283"/>
              <w:jc w:val="left"/>
              <w:rPr>
                <w:b/>
              </w:rPr>
            </w:pPr>
            <w:r>
              <w:rPr>
                <w:b/>
              </w:rPr>
              <w:t>ORAMED PHARMACEUTICALS INC.</w:t>
            </w:r>
          </w:p>
        </w:tc>
        <w:tc>
          <w:tcPr>
            <w:tcW w:w="6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b/>
                <w:caps/>
              </w:rPr>
              <w:t>Consultant</w:t>
            </w:r>
            <w:r>
              <w:rPr>
                <w:b/>
              </w:rPr>
              <w:t>.</w:t>
            </w:r>
          </w:p>
        </w:tc>
      </w:tr>
      <w:tr>
        <w:trPr/>
        <w:tc>
          <w:tcPr>
            <w:tcW w:w="43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 </w:t>
            </w:r>
          </w:p>
        </w:tc>
      </w:tr>
      <w:tr>
        <w:trPr/>
        <w:tc>
          <w:tcPr>
            <w:tcW w:w="1102" w:type="dxa"/>
            <w:tcBorders/>
            <w:vAlign w:val="center"/>
          </w:tcPr>
          <w:p>
            <w:pPr>
              <w:pStyle w:val="TableContents"/>
              <w:bidi w:val="0"/>
              <w:spacing w:before="0" w:after="283"/>
              <w:jc w:val="left"/>
              <w:rPr/>
            </w:pPr>
            <w:r>
              <w:rPr/>
              <w:t xml:space="preserve">By: </w:t>
            </w:r>
          </w:p>
        </w:tc>
        <w:tc>
          <w:tcPr>
            <w:tcW w:w="3207"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xml:space="preserve">By: </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102" w:type="dxa"/>
            <w:tcBorders/>
            <w:vAlign w:val="center"/>
          </w:tcPr>
          <w:p>
            <w:pPr>
              <w:pStyle w:val="TableContents"/>
              <w:bidi w:val="0"/>
              <w:spacing w:before="0" w:after="283"/>
              <w:jc w:val="left"/>
              <w:rPr/>
            </w:pPr>
            <w:r>
              <w:rPr/>
              <w:t>Name:  </w:t>
            </w:r>
          </w:p>
        </w:tc>
        <w:tc>
          <w:tcPr>
            <w:tcW w:w="3207" w:type="dxa"/>
            <w:tcBorders/>
            <w:vAlign w:val="center"/>
          </w:tcPr>
          <w:p>
            <w:pPr>
              <w:pStyle w:val="TableContents"/>
              <w:bidi w:val="0"/>
              <w:spacing w:before="0" w:after="283"/>
              <w:jc w:val="left"/>
              <w:rPr/>
            </w:pPr>
            <w:r>
              <w:rPr/>
              <w:t>Nadav Kidron</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Avi Gabay</w:t>
            </w:r>
          </w:p>
        </w:tc>
      </w:tr>
      <w:tr>
        <w:trPr/>
        <w:tc>
          <w:tcPr>
            <w:tcW w:w="1102" w:type="dxa"/>
            <w:tcBorders/>
            <w:vAlign w:val="center"/>
          </w:tcPr>
          <w:p>
            <w:pPr>
              <w:pStyle w:val="TableContents"/>
              <w:bidi w:val="0"/>
              <w:spacing w:before="0" w:after="283"/>
              <w:jc w:val="left"/>
              <w:rPr/>
            </w:pPr>
            <w:r>
              <w:rPr/>
              <w:t>Title:</w:t>
            </w:r>
          </w:p>
        </w:tc>
        <w:tc>
          <w:tcPr>
            <w:tcW w:w="3207"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63" w:name="ea028261801ex10-50.htm"/>
      <w:bookmarkStart w:id="64" w:name="ksea028261801ex1050"/>
      <w:bookmarkEnd w:id="63"/>
      <w:bookmarkEnd w:id="64"/>
      <w:r>
        <w:rPr>
          <w:b/>
        </w:rPr>
        <w:t>Exhibit 10.50</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Employment Agreement is made on 6 day of June 2024, by and between </w:t>
      </w:r>
      <w:r>
        <w:rPr>
          <w:rFonts w:ascii="Times New Roman;Times;Serif" w:hAnsi="Times New Roman;Times;Serif"/>
          <w:b/>
          <w:i w:val="false"/>
          <w:caps w:val="false"/>
          <w:smallCaps w:val="false"/>
          <w:sz w:val="20"/>
        </w:rPr>
        <w:t>Avraham Gabay</w:t>
      </w:r>
      <w:r>
        <w:rPr>
          <w:rFonts w:ascii="Times New Roman;Times;Serif" w:hAnsi="Times New Roman;Times;Serif"/>
          <w:b w:val="false"/>
          <w:i w:val="false"/>
          <w:caps w:val="false"/>
          <w:smallCaps w:val="false"/>
          <w:sz w:val="20"/>
        </w:rPr>
        <w:t>, an individual residing in Petakh Tikva,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Mamila 20, Jerusalem, Israel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has agreed to engage the Executive to serve in the role of Chief Financial Officer, Secretary and Treasurer of the Company and ORAMED PHARMACEUTICALS INC. in accordance with the terms as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992"/>
        <w:gridCol w:w="9025"/>
      </w:tblGrid>
      <w:tr>
        <w:trPr/>
        <w:tc>
          <w:tcPr>
            <w:tcW w:w="1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b/>
              </w:rPr>
            </w:pPr>
            <w:r>
              <w:rPr>
                <w:b/>
              </w:rPr>
              <w:t>1.</w:t>
            </w:r>
          </w:p>
        </w:tc>
        <w:tc>
          <w:tcPr>
            <w:tcW w:w="9025" w:type="dxa"/>
            <w:tcBorders/>
            <w:vAlign w:val="center"/>
          </w:tcPr>
          <w:p>
            <w:pPr>
              <w:pStyle w:val="TableContents"/>
              <w:bidi w:val="0"/>
              <w:spacing w:before="0" w:after="283"/>
              <w:jc w:val="both"/>
              <w:rPr>
                <w:b/>
                <w:u w:val="single"/>
              </w:rPr>
            </w:pPr>
            <w:r>
              <w:rPr>
                <w:b/>
                <w:u w:val="single"/>
              </w:rPr>
              <w:t>ENGAGEMENT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u w:val="single"/>
              </w:rPr>
              <w:t>Engagement of Executive.</w:t>
            </w:r>
            <w:r>
              <w:rPr/>
              <w:t xml:space="preserve"> The Company hereby agrees to employ the Executive in accordance with the terms and provisions 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u w:val="single"/>
              </w:rPr>
              <w:t>Term.</w:t>
            </w:r>
            <w:r>
              <w:rPr/>
              <w:t xml:space="preserve"> The term of employment under this Agreement shall commence on June 10, 2024 (the “</w:t>
            </w:r>
            <w:r>
              <w:rPr>
                <w:b/>
              </w:rPr>
              <w:t>Effective Date</w:t>
            </w:r>
            <w:r>
              <w:rPr/>
              <w:t>”) on a 50% basis and starting June 18, 2024 on a 100% basis and shall continue until terminated by either party as provided herein (the “</w:t>
            </w:r>
            <w:r>
              <w:rPr>
                <w:b/>
              </w:rPr>
              <w:t>Term</w:t>
            </w:r>
            <w:r>
              <w:rPr/>
              <w:t>”).</w:t>
            </w:r>
          </w:p>
        </w:tc>
      </w:tr>
    </w:tbl>
    <w:p>
      <w:pPr>
        <w:pStyle w:val="TextBody"/>
        <w:bidi w:val="0"/>
        <w:spacing w:before="0" w:after="0"/>
        <w:jc w:val="left"/>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32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800" w:type="dxa"/>
            <w:tcBorders/>
            <w:vAlign w:val="center"/>
          </w:tcPr>
          <w:p>
            <w:pPr>
              <w:pStyle w:val="TableContents"/>
              <w:bidi w:val="0"/>
              <w:spacing w:before="0" w:after="283"/>
              <w:jc w:val="both"/>
              <w:rPr>
                <w:u w:val="single"/>
              </w:rPr>
            </w:pPr>
            <w:r>
              <w:rPr>
                <w:u w:val="single"/>
              </w:rPr>
              <w:t>Service.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1" w:type="dxa"/>
            <w:tcBorders/>
            <w:vAlign w:val="center"/>
          </w:tcPr>
          <w:p>
            <w:pPr>
              <w:pStyle w:val="TableContents"/>
              <w:bidi w:val="0"/>
              <w:spacing w:before="0" w:after="283"/>
              <w:jc w:val="both"/>
              <w:rPr/>
            </w:pPr>
            <w:r>
              <w:rPr/>
              <w:t>As of June 18, 2024, the Executive shall serve in the role of Chief Financial Officer, Secretary and Treasurer of the Company and ORAMED PHARMACEUTICALS INC. (the “</w:t>
            </w:r>
            <w:r>
              <w:rPr>
                <w:b/>
              </w:rPr>
              <w:t>Parent</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Scope of service – from the Effective Date, the Executive shall perform his work on the basis of a full-time position. The Company’s standard working days and hours are 5 days a week between Sunday and Thursday, four days of 9 gross hours (including lunch and rest breaks) per day and one shorten day of 8 gross hours including breaks. The working hours of the Executive shall be as required by the nature of the Executive’s position in the Company, including during additional and overtime hours if it is so required in order to fulfill the Executive’s obligations according to this Agreement. The regular weekly rest day is Saturday.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t>In consideration of the conditions and circumstances of the Executive’s senior position and duties in the Company which requires a special degree of trust and as the conditions and circumstances of employment do not enable the Company to supervise the Executive’s hours of work, the provisions of the Hours of Work and Rest Law, 1951 shall not apply to the Executive and he shall not be entitled to any additional consideration for work during overtime hours and/or on days that are not regular business days, except as specified in this Agreement. The Executive acknowledges that the consideration set for his hereunder nevertheless includes within it consideration that would otherwise have been due to him by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(d)</w:t>
            </w:r>
          </w:p>
        </w:tc>
        <w:tc>
          <w:tcPr>
            <w:tcW w:w="9943" w:type="dxa"/>
            <w:tcBorders/>
            <w:vAlign w:val="center"/>
          </w:tcPr>
          <w:p>
            <w:pPr>
              <w:pStyle w:val="TableContents"/>
              <w:bidi w:val="0"/>
              <w:spacing w:before="0" w:after="283"/>
              <w:jc w:val="both"/>
              <w:rPr/>
            </w:pPr>
            <w:r>
              <w:rPr/>
              <w:t>The Executive agrees to faithfully, honestly and diligently serve the Company and to devote Executive’s attention and best efforts to further the business and interests of the Company. The Executive agrees and undertakes to inform the Company’s Chief Executive Officer (the “</w:t>
            </w:r>
            <w:r>
              <w:rPr>
                <w:b/>
              </w:rPr>
              <w:t>CEO</w:t>
            </w:r>
            <w:r>
              <w:rPr/>
              <w:t>”) immediately after becoming aware of any matter that may in any way raise a conflict of interest between the Executive and the Company. For the avoidance of doubt, nothing in this Section 1.3 shall degrade from the Executive’s obligation to continue observing all of his undertakings under this Agreement in their entirety, including, without limitation, his obligations of confidentiality and non-disclosure.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7" w:type="dxa"/>
            <w:tcBorders/>
            <w:vAlign w:val="center"/>
          </w:tcPr>
          <w:p>
            <w:pPr>
              <w:pStyle w:val="TableContents"/>
              <w:bidi w:val="0"/>
              <w:spacing w:before="0" w:after="283"/>
              <w:jc w:val="both"/>
              <w:rPr/>
            </w:pPr>
            <w:r>
              <w:rPr>
                <w:u w:val="single"/>
              </w:rPr>
              <w:t>Duties.</w:t>
            </w:r>
            <w:r>
              <w:rPr/>
              <w:t xml:space="preserve"> The Executive’s services hereunder shall be provided on the basis of the following terms and conditions: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both"/>
              <w:rPr/>
            </w:pPr>
            <w:r>
              <w:rPr/>
              <w:t>reporting to the Company’s CEO as the Executive Supervisor and to the Company’s and Parent’s Board of Directors (the “</w:t>
            </w:r>
            <w:r>
              <w:rPr>
                <w:b/>
              </w:rPr>
              <w:t>Board</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the Executive shall be responsible for the financial reporting and controls of the Company and Parent, all subject to any applicable law and to instructions provided by the Board from time to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the Executive shall faithfully, honestly and diligently serve the Company and the Parent and cooperate with the Company and the Parent and utilize his professional skills and care to ensure that all services rendered hereunder are to the satisfaction of the Company and the Parent, acting reasonably, and the Executive shall provide any other services not specifically mentioned herein, but which by reason of the Executive’s capability the Executive knows or ought to know to be necessary to ensure that the best interests of the Company and the Parent are maintained;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t>the Executive shall assume, obey, implement and execute such duties, directions, responsibilities, procedures, policies and lawful orders as may be determined or given from time to time by the Board, and/or CEO;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(e)</w:t>
            </w:r>
          </w:p>
        </w:tc>
        <w:tc>
          <w:tcPr>
            <w:tcW w:w="9906" w:type="dxa"/>
            <w:tcBorders/>
            <w:vAlign w:val="center"/>
          </w:tcPr>
          <w:p>
            <w:pPr>
              <w:pStyle w:val="TableContents"/>
              <w:bidi w:val="0"/>
              <w:spacing w:before="0" w:after="283"/>
              <w:jc w:val="both"/>
              <w:rPr/>
            </w:pPr>
            <w:r>
              <w:rPr/>
              <w:t>the Executive shall report the results of his duties hereunder to the CEO and/or the Board as it may request from time to time.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(f)</w:t>
            </w:r>
          </w:p>
        </w:tc>
        <w:tc>
          <w:tcPr>
            <w:tcW w:w="9980" w:type="dxa"/>
            <w:tcBorders/>
            <w:vAlign w:val="center"/>
          </w:tcPr>
          <w:p>
            <w:pPr>
              <w:pStyle w:val="TableContents"/>
              <w:bidi w:val="0"/>
              <w:spacing w:before="0" w:after="283"/>
              <w:jc w:val="both"/>
              <w:rPr/>
            </w:pPr>
            <w:r>
              <w:rPr/>
              <w:t>The Executive shall not, without the prior written authorization of the Company, directly or indirectly undertake any other employment, whether as an employee of another employer or independently as an agent, consultant, director or in any other manner (whether for compensation or otherwise), and shall not assume any position or render services in any of the above-stated manners to any other entity or person.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(g)</w:t>
            </w:r>
          </w:p>
        </w:tc>
        <w:tc>
          <w:tcPr>
            <w:tcW w:w="9945" w:type="dxa"/>
            <w:tcBorders/>
            <w:vAlign w:val="center"/>
          </w:tcPr>
          <w:p>
            <w:pPr>
              <w:pStyle w:val="TableContents"/>
              <w:bidi w:val="0"/>
              <w:spacing w:before="0" w:after="283"/>
              <w:jc w:val="both"/>
              <w:rPr/>
            </w:pPr>
            <w:r>
              <w:rPr/>
              <w:t>The Executive undertakes to fulfill the responsibilities described in this Agreement and assist the Company, its affiliates, subsidiaries, related corporations and parent company now or hereafter existing (collectively, “</w:t>
            </w:r>
            <w:r>
              <w:rPr>
                <w:b/>
              </w:rPr>
              <w:t>Affiliates</w:t>
            </w:r>
            <w:r>
              <w:rPr/>
              <w:t>”) and to make himself available to them, during the employment period and even after the termination of his employment relations with the Company, for any reason, in any matter which the Company may reasonably request his assistance, including for the purpose of providing any information relating to his work or actions taken by him and including in the framework of disputes (including legal or quasi-legal proceedings). If the Company requires the Executive’s services after the termination of the employment relations with him, for any reason, it shall reimburse the Executive for his expenses in connection with performing the provisions of this Section.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(h)</w:t>
            </w:r>
          </w:p>
        </w:tc>
        <w:tc>
          <w:tcPr>
            <w:tcW w:w="9936" w:type="dxa"/>
            <w:tcBorders/>
            <w:vAlign w:val="center"/>
          </w:tcPr>
          <w:p>
            <w:pPr>
              <w:pStyle w:val="TableContents"/>
              <w:bidi w:val="0"/>
              <w:spacing w:before="0" w:after="283"/>
              <w:jc w:val="both"/>
              <w:rPr/>
            </w:pPr>
            <w:r>
              <w:rPr/>
              <w:t>The Executive shall not receive any payment and/or benefit from any third party, directly or indirectly, in connection with his employment with the Company. In the event the Executive breaches this Sub-section, without derogating from any of the Company’s right by law or contract, such benefit or payment shall become the sole property of the Company and the Company may set-of such amount from any sums due to the Executive.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(i)</w:t>
            </w:r>
          </w:p>
        </w:tc>
        <w:tc>
          <w:tcPr>
            <w:tcW w:w="9977" w:type="dxa"/>
            <w:tcBorders/>
            <w:vAlign w:val="center"/>
          </w:tcPr>
          <w:p>
            <w:pPr>
              <w:pStyle w:val="TableContents"/>
              <w:bidi w:val="0"/>
              <w:spacing w:before="0" w:after="283"/>
              <w:jc w:val="both"/>
              <w:rPr/>
            </w:pPr>
            <w:r>
              <w:rPr/>
              <w:t>The Executive acknowledges that the Company is committed to the restrictions as mentioned in the Prevention of Sexual Harassment Law, 1998, and that sexual harassment is a severe disciplinary offence.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(j)</w:t>
            </w:r>
          </w:p>
        </w:tc>
        <w:tc>
          <w:tcPr>
            <w:tcW w:w="9998" w:type="dxa"/>
            <w:tcBorders/>
            <w:vAlign w:val="center"/>
          </w:tcPr>
          <w:p>
            <w:pPr>
              <w:pStyle w:val="TableContents"/>
              <w:bidi w:val="0"/>
              <w:spacing w:before="0" w:after="283"/>
              <w:jc w:val="both"/>
              <w:rPr/>
            </w:pPr>
            <w:r>
              <w:rPr/>
              <w:t xml:space="preserve">The Executive undertakes not to make improper use of computer, computer devices, internet and/or e-mails, including (but not limited to) use of illegal software or the receipt and/or transfer of pornographic material, and/or any other material that is not connected with his work and may be harmful to the Company, other employees or any other third party, as further detailed in the Company’s policy as may be amended from time. The current policy is attached hereto as </w:t>
            </w:r>
            <w:r>
              <w:rPr>
                <w:b/>
                <w:u w:val="single"/>
              </w:rPr>
              <w:t>Annex A</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(k)</w:t>
            </w:r>
          </w:p>
        </w:tc>
        <w:tc>
          <w:tcPr>
            <w:tcW w:w="9944" w:type="dxa"/>
            <w:tcBorders/>
            <w:vAlign w:val="center"/>
          </w:tcPr>
          <w:p>
            <w:pPr>
              <w:pStyle w:val="TableContents"/>
              <w:bidi w:val="0"/>
              <w:spacing w:before="0" w:after="283"/>
              <w:jc w:val="both"/>
              <w:rPr/>
            </w:pPr>
            <w:r>
              <w:rPr/>
              <w:t>The Executive acknowledges and agrees that personal information related to his and the Executive’s terms of employment at the Company, as shall be received and held by the Company will be held and managed by the Company, and that the Company shall be entitled to transfer such information to third parties, in Israel or abroad. The information will be collected, retained, used, and transferred for legitimate business purposes and to the reasonable and necessary scope only, including: human resources management, business management and customer relations, assessment of potential transactions and relating to such transactions, compliance with law and other requests and requirements from government authorities and audit, compliance checks and internal investigations.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473"/>
        <w:gridCol w:w="9642"/>
      </w:tblGrid>
      <w:tr>
        <w:trPr/>
        <w:tc>
          <w:tcPr>
            <w:tcW w:w="9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b/>
              </w:rPr>
            </w:pPr>
            <w:r>
              <w:rPr>
                <w:b/>
              </w:rPr>
              <w:t>2.</w:t>
            </w:r>
          </w:p>
        </w:tc>
        <w:tc>
          <w:tcPr>
            <w:tcW w:w="9642" w:type="dxa"/>
            <w:tcBorders/>
            <w:vAlign w:val="center"/>
          </w:tcPr>
          <w:p>
            <w:pPr>
              <w:pStyle w:val="TableContents"/>
              <w:bidi w:val="0"/>
              <w:spacing w:before="0" w:after="283"/>
              <w:jc w:val="both"/>
              <w:rPr>
                <w:b/>
                <w:u w:val="single"/>
              </w:rPr>
            </w:pPr>
            <w:r>
              <w:rPr>
                <w:b/>
                <w:u w:val="single"/>
              </w:rPr>
              <w:t xml:space="preserve">COMPENSATION </w:t>
            </w:r>
            <w:r>
              <w:rPr>
                <w:b/>
                <w:sz w:val="20"/>
                <w:u w:val="single"/>
              </w:rPr>
              <w:t>and additional TERMS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u w:val="single"/>
              </w:rPr>
              <w:t>Salary</w:t>
            </w:r>
            <w:r>
              <w:rPr/>
              <w:t>. For services rendered by the Executive during the Term, as the Chief Financial Officer, Secretary and Treasurer of the Company and ORAMED PHARMACEUTICALS INC. on a full-time basis, the Executive shall be paid a monthly salary, as follows:</w:t>
            </w:r>
          </w:p>
        </w:tc>
      </w:tr>
    </w:tbl>
    <w:p>
      <w:pPr>
        <w:pStyle w:val="TextBody"/>
        <w:bidi w:val="0"/>
        <w:spacing w:before="0" w:after="0"/>
        <w:jc w:val="left"/>
        <w:rPr>
          <w:caps w:val="false"/>
          <w:smallCaps w:val="false"/>
        </w:rPr>
      </w:pPr>
      <w:r>
        <w:rPr>
          <w:caps w:val="false"/>
          <w:smallCaps w:val="false"/>
        </w:rPr>
        <w:t> </w:t>
      </w:r>
    </w:p>
    <w:tbl>
      <w:tblPr>
        <w:tblW w:w="8643" w:type="dxa"/>
        <w:jc w:val="left"/>
        <w:tblInd w:w="0" w:type="dxa"/>
        <w:tblLayout w:type="fixed"/>
        <w:tblCellMar>
          <w:top w:w="0" w:type="dxa"/>
          <w:left w:w="0" w:type="dxa"/>
          <w:bottom w:w="0" w:type="dxa"/>
          <w:right w:w="0" w:type="dxa"/>
        </w:tblCellMar>
      </w:tblPr>
      <w:tblGrid>
        <w:gridCol w:w="38"/>
        <w:gridCol w:w="27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330" w:type="dxa"/>
            <w:tcBorders/>
            <w:vAlign w:val="center"/>
          </w:tcPr>
          <w:p>
            <w:pPr>
              <w:pStyle w:val="TableContents"/>
              <w:bidi w:val="0"/>
              <w:spacing w:before="0" w:after="283"/>
              <w:jc w:val="both"/>
              <w:rPr/>
            </w:pPr>
            <w:r>
              <w:rPr/>
              <w:t>the Executive shall be entitled to a gross monthly amount of NIS 68,000 (the “</w:t>
            </w:r>
            <w:r>
              <w:rPr>
                <w:b/>
              </w:rPr>
              <w:t>Salary</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both"/>
              <w:rPr/>
            </w:pPr>
            <w:r>
              <w:rPr/>
              <w:t>As mentioned above, the Executive’s positions is of a management or those requiring a special degree of personal trust, and the Company is not able to supervise the number of working hours of the Executive; therefore the provisions of the Israeli Hours of Work and Rest Law - 1951, will not apply to the Executive and he will not be entitled to any additional remuneration whatsoever for his work with the exception of that specifically set out in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both"/>
              <w:rPr/>
            </w:pPr>
            <w:r>
              <w:rPr/>
              <w:t>The aforementioned Salary and the fringe benefits that are described below constitutes the overall consideration for the Executive’s work and in view of his position and status, and he shall not be entitled to any additional consideration, of any form, for his work including during additional and overtime hours and on weekends or holidays, insofar as required. The Salary will be paid to the Executive in accordance with the Company’s normal and reasonable pay-roll practices, no later than the 9th day of each month. Any payment or benefit under this Agreement (including any bonuses or the like), other than the Salary, shall not be considered as a salary for any purpose whatsoever, and the Executive shall not maintain or claim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909" w:type="dxa"/>
            <w:tcBorders/>
            <w:vAlign w:val="center"/>
          </w:tcPr>
          <w:p>
            <w:pPr>
              <w:pStyle w:val="TableContents"/>
              <w:bidi w:val="0"/>
              <w:spacing w:before="0" w:after="283"/>
              <w:jc w:val="both"/>
              <w:rPr/>
            </w:pPr>
            <w:r>
              <w:rPr/>
              <w:t>Executive’s Salary and other benefits shall be annually reviewed by the Board based on his and the Company’s performance, all at the Board’s sole and absolute discretion.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7" w:type="dxa"/>
            <w:tcBorders/>
            <w:vAlign w:val="center"/>
          </w:tcPr>
          <w:p>
            <w:pPr>
              <w:pStyle w:val="TableContents"/>
              <w:bidi w:val="0"/>
              <w:spacing w:before="0" w:after="283"/>
              <w:jc w:val="both"/>
              <w:rPr/>
            </w:pPr>
            <w:r>
              <w:rPr>
                <w:u w:val="single"/>
              </w:rPr>
              <w:t>Company Vehicle.</w:t>
            </w:r>
            <w:r>
              <w:rPr/>
              <w:t xml:space="preserve"> The Executive shall be entitled to the use of a vehicle, as shall be determined by the Company (the “</w:t>
            </w:r>
            <w:r>
              <w:rPr>
                <w:b/>
              </w:rPr>
              <w:t>Car</w:t>
            </w:r>
            <w:r>
              <w:rPr/>
              <w:t>”). The Company shall incur all reasonable expenses associated with use of the Car, including fuel expenses, however excluding personal traffic fines, payments to the tax authorities resulting from the use of the Car (“</w:t>
            </w:r>
            <w:r>
              <w:rPr>
                <w:b/>
              </w:rPr>
              <w:t>Shovi Shimush</w:t>
            </w:r>
            <w:r>
              <w:rPr/>
              <w:t>”) and the like, and the Executive hereby authorizes the Company to deduct any such amount from any amount owing to him thereby, including from the Salary. The use of the Car shall be in accordance with the provisions of the Company’s car internal procedures, as may be amended from time to time by the Company and the Executive hereby authorizes the Company to deduct any amount needs to be deducted according to such internal procedures from any amount owing to him thereby, including from the Salary. The Executive shall bear any tax payments resulting from the aforesaid, to the extent applicable. The Car will be returned to the Company by the Executive immediately upon termination of Executive’s employment by the Company, for any reason whatsoever, or upon any request by the Company at any time. The Car is in lieu of travel expenses from Executive’s premises to work and back in accordance with the law. Should the Executive choose not to use a car as described in this section 2.2, he will be entitled to a gross monthly amount of NIS 5,000 (instead of statutory travel expenses from home to the office and back).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7" w:type="dxa"/>
            <w:tcBorders/>
            <w:vAlign w:val="center"/>
          </w:tcPr>
          <w:p>
            <w:pPr>
              <w:pStyle w:val="TableContents"/>
              <w:bidi w:val="0"/>
              <w:spacing w:before="0" w:after="283"/>
              <w:jc w:val="both"/>
              <w:rPr/>
            </w:pPr>
            <w:r>
              <w:rPr>
                <w:u w:val="single"/>
              </w:rPr>
              <w:t>Expenses.</w:t>
            </w:r>
            <w:r>
              <w:rPr/>
              <w:t xml:space="preserve"> The Executive will be reimbursed by the Company for pre-approved business expenses incurred by the Executive in connection with his duties, and in accordance with Company’s policy.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7" w:type="dxa"/>
            <w:tcBorders/>
            <w:vAlign w:val="center"/>
          </w:tcPr>
          <w:p>
            <w:pPr>
              <w:pStyle w:val="TableContents"/>
              <w:bidi w:val="0"/>
              <w:spacing w:before="0" w:after="283"/>
              <w:jc w:val="both"/>
              <w:rPr/>
            </w:pPr>
            <w:r>
              <w:rPr>
                <w:u w:val="single"/>
              </w:rPr>
              <w:t>Vacation; Sick Leave and Recreation Pay</w:t>
            </w:r>
            <w:r>
              <w:rPr/>
              <w:t>. The Executive shall be entitled to 20 vacation days per year. The Executive shall be entitled to accrue a maximum of 24 vacation days (the “</w:t>
            </w:r>
            <w:r>
              <w:rPr>
                <w:b/>
              </w:rPr>
              <w:t>Maximum</w:t>
            </w:r>
            <w:r>
              <w:rPr/>
              <w:t>”). Any days accrued beyond the Maximum shall be erased. In addition, Executive shall be entitled to sick leave and Recreation Pay according to applicable law. Executive shall be entitled to cash redemption of vested vacation only upon termination of his employment.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9847" w:type="dxa"/>
            <w:tcBorders/>
            <w:vAlign w:val="center"/>
          </w:tcPr>
          <w:p>
            <w:pPr>
              <w:pStyle w:val="TableContents"/>
              <w:bidi w:val="0"/>
              <w:spacing w:before="0" w:after="283"/>
              <w:jc w:val="both"/>
              <w:rPr/>
            </w:pPr>
            <w:r>
              <w:rPr>
                <w:u w:val="single"/>
              </w:rPr>
              <w:t>Additional Benefits</w:t>
            </w:r>
            <w:r>
              <w:rPr/>
              <w:t>. The Executive shall be entitled to the use of a Company paid mobile phone for business purposes, according to the Company’s policies and instructions, as amended from time to time. In addition, the Executive shall be entitled to the use of a Company owned laptop computer, according to the Company’s policies and instructions, as amended from time to time. The Executive shall bear any tax payments resulting from the aforesaid, to the extent applicable.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2.6</w:t>
            </w:r>
          </w:p>
        </w:tc>
        <w:tc>
          <w:tcPr>
            <w:tcW w:w="9847" w:type="dxa"/>
            <w:tcBorders/>
            <w:vAlign w:val="center"/>
          </w:tcPr>
          <w:p>
            <w:pPr>
              <w:pStyle w:val="TableContents"/>
              <w:bidi w:val="0"/>
              <w:spacing w:before="0" w:after="283"/>
              <w:jc w:val="both"/>
              <w:rPr/>
            </w:pPr>
            <w:r>
              <w:rPr>
                <w:u w:val="single"/>
              </w:rPr>
              <w:t>Deductions.</w:t>
            </w:r>
            <w:r>
              <w:rPr/>
              <w:t xml:space="preserve"> The Executive acknowledges that all payments by the Company in respect of the services provided by the Executive shall be subject to the deduction of any amount which the Company as an employer is required to deduct or withhold from the Salary or other payments to an executive in accordance with statutory requirements (including, without limitation, income tax, employee contributions and unemployment insurance contributions).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2.7</w:t>
            </w:r>
          </w:p>
        </w:tc>
        <w:tc>
          <w:tcPr>
            <w:tcW w:w="9847" w:type="dxa"/>
            <w:tcBorders/>
            <w:vAlign w:val="center"/>
          </w:tcPr>
          <w:p>
            <w:pPr>
              <w:pStyle w:val="TableContents"/>
              <w:bidi w:val="0"/>
              <w:spacing w:before="0" w:after="283"/>
              <w:jc w:val="both"/>
              <w:rPr/>
            </w:pPr>
            <w:r>
              <w:rPr>
                <w:u w:val="single"/>
              </w:rPr>
              <w:t xml:space="preserve">Bonus. </w:t>
            </w:r>
            <w:r>
              <w:rPr/>
              <w:t>The appropriate organ of the Company shall consider granting the Executive a bonus for each then-outgoing calendar year and salary and compensation increases for each then-incoming calendar year in amounts to be determined by the Board at least once every calendar year in line with other Executives.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3"/>
        <w:gridCol w:w="9464"/>
      </w:tblGrid>
      <w:tr>
        <w:trPr/>
        <w:tc>
          <w:tcPr>
            <w:tcW w:w="1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b/>
              </w:rPr>
            </w:pPr>
            <w:r>
              <w:rPr>
                <w:b/>
              </w:rPr>
              <w:t>3.</w:t>
            </w:r>
          </w:p>
        </w:tc>
        <w:tc>
          <w:tcPr>
            <w:tcW w:w="9464" w:type="dxa"/>
            <w:tcBorders/>
            <w:vAlign w:val="center"/>
          </w:tcPr>
          <w:p>
            <w:pPr>
              <w:pStyle w:val="TableContents"/>
              <w:bidi w:val="0"/>
              <w:spacing w:before="0" w:after="283"/>
              <w:jc w:val="both"/>
              <w:rPr>
                <w:b/>
                <w:u w:val="single"/>
              </w:rPr>
            </w:pPr>
            <w:r>
              <w:rPr>
                <w:b/>
                <w:u w:val="single"/>
              </w:rPr>
              <w:t>Social Insurance and Benefits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pPr>
            <w:r>
              <w:rPr/>
              <w:t>The Executive shall be entitled to a pension arrangement, a Managers’ Insurance Policy (the “</w:t>
            </w:r>
            <w:r>
              <w:rPr>
                <w:b/>
              </w:rPr>
              <w:t>Policy</w:t>
            </w:r>
            <w:r>
              <w:rPr/>
              <w:t>”) and/or Pension Fund (the “</w:t>
            </w:r>
            <w:r>
              <w:rPr>
                <w:b/>
              </w:rPr>
              <w:t>Pension Fund</w:t>
            </w:r>
            <w:r>
              <w:rPr/>
              <w:t>”)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contribute 8.33% of the Salary for severance compensation (the “</w:t>
      </w:r>
      <w:r>
        <w:rPr>
          <w:rFonts w:ascii="Times New Roman;Times;Serif" w:hAnsi="Times New Roman;Times;Serif"/>
          <w:b/>
          <w:i w:val="false"/>
          <w:caps w:val="false"/>
          <w:smallCaps w:val="false"/>
          <w:sz w:val="20"/>
        </w:rPr>
        <w:t>Severance Contribution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shall contribute 6.5% of the Salary for pension compensation (Tagmulim) towards Policy/Pension Fund.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Executive chooses Policy arrangement, the pension compensation (Tagmulim) shall include the Company’s payment for purchase of disability insurance coverage sufficient to secure 75% of the Salary; provided that the Company’s contributions solely for pension compensation (Tagmulim) shall be not less than 5% and subject to the consent of the insurance company to insure the Executive. For the avoidance of any doubt, in the event that the cost to the Company shall be more than the required contributions rates towards pension compensation (6.5% as described above) due to the cost of the disability insurance, the total cost of the Company’s contributions to pension compensation and disability insurance collectively shall not exceed 7.5% of the Salary.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deduct from the Salary the Executive’s contributions for pension compensation (Tagmulim) in an amount of 6% of the Salary towards Policy/Pension Fund.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liability in connection with pension arrangement shall be borne solely by the Executive.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agrees and acknowledges that the Company’s Severance Contribution in accordance with the foregoing, shall be in lieu of 100% of the severance payment to which the Executive (or his beneficiaries) shall be entitled with respect to the Salary and the contributions were made and for the period in which they were made, pursuant to Section 14 of the Severance Pay Law, 1963 (the “Severance Law”) in accordance with the instructions of “</w:t>
      </w:r>
      <w:r>
        <w:rPr>
          <w:rFonts w:ascii="Times New Roman;Times;Serif" w:hAnsi="Times New Roman;Times;Serif"/>
          <w:b w:val="false"/>
          <w:i/>
          <w:caps w:val="false"/>
          <w:smallCaps w:val="false"/>
          <w:sz w:val="20"/>
        </w:rPr>
        <w:t>The General Approval Regarding Employers’ Payments to Pension Fund and Insurance Fund Instead of Severance Pay</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General Approval</w:t>
      </w:r>
      <w:r>
        <w:rPr>
          <w:rFonts w:ascii="Times New Roman;Times;Serif" w:hAnsi="Times New Roman;Times;Serif"/>
          <w:b w:val="false"/>
          <w:i w:val="false"/>
          <w:caps w:val="false"/>
          <w:smallCaps w:val="false"/>
          <w:sz w:val="20"/>
        </w:rPr>
        <w:t xml:space="preserve">”, a copy of which is attached hereto as </w:t>
      </w:r>
      <w:r>
        <w:rPr>
          <w:rFonts w:ascii="Times New Roman;Times;Serif" w:hAnsi="Times New Roman;Times;Serif"/>
          <w:b/>
          <w:i w:val="false"/>
          <w:caps w:val="false"/>
          <w:smallCaps w:val="false"/>
          <w:sz w:val="20"/>
          <w:u w:val="single"/>
        </w:rPr>
        <w:t>Exhibit A</w:t>
      </w:r>
      <w:r>
        <w:rPr>
          <w:rFonts w:ascii="Times New Roman;Times;Serif" w:hAnsi="Times New Roman;Times;Serif"/>
          <w:b w:val="false"/>
          <w:i w:val="false"/>
          <w:caps w:val="false"/>
          <w:smallCaps w:val="false"/>
          <w:sz w:val="20"/>
        </w:rPr>
        <w:t>), as amended from time to time in case the Executive chooses a Policy and in the event that the Executive chooses Pension Fund arrangement in accordance with Sections 7 and 9 to the Extension Order General Insurance Pension In The Israeli Market.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waives any of its rights to refund monies from the payments it transfers to the Policy/Pension Fund in accordance with this Section, unless the Executive’s right to severance pay is denied by virtue of a court order, under Sections 16 or 17 of the Severance Law, and in the same amount which was denied, or the Executive withdraws monies from the Policy and/or the Pension Fund not due to a Granting Event. The term “Granting Event” shall mean - death, disability or retirement at the age of sixty or more.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pPr>
            <w:r>
              <w:rPr>
                <w:u w:val="single"/>
              </w:rPr>
              <w:t>Keren Hishtalmut</w:t>
            </w:r>
            <w:r>
              <w:rPr/>
              <w:t>. The Company shall make monthly contributions on the Employee’s behalf to a recognized advanced study fund (the “</w:t>
            </w:r>
            <w:r>
              <w:rPr>
                <w:b/>
              </w:rPr>
              <w:t>Fund</w:t>
            </w:r>
            <w:r>
              <w:rPr/>
              <w:t>” (“Keren Hishtalmut”)) in an amount equal to 7.5% of the Salary. In addition, the Company shall deduct 2.5% from the Salary and transfer those monies to the Study Fund; such contributions shall be subject to the maximum amount stated in Section 3(e) of the Income Tax Ordinance 1961 (the “</w:t>
            </w:r>
            <w:r>
              <w:rPr>
                <w:b/>
              </w:rPr>
              <w:t>Income Tax Ordinance”</w:t>
            </w:r>
            <w:r>
              <w:rPr/>
              <w:t>). For the avoidance of any doubt, said contributions shall not exceed the tax-exempt ceiling set by the applicable law for tax purposes.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both"/>
              <w:rPr/>
            </w:pPr>
            <w:r>
              <w:rPr>
                <w:u w:val="single"/>
              </w:rPr>
              <w:t>Liability Insurance Indemnification</w:t>
            </w:r>
            <w:r>
              <w:rPr/>
              <w:t>. The Company shall provide the Executive (including his heirs, executors and administrators) with coverage under a standard directors’ and officers’ liability insurance policy at the Company’s expense.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3"/>
        <w:gridCol w:w="9940"/>
      </w:tblGrid>
      <w:tr>
        <w:trPr/>
        <w:tc>
          <w:tcPr>
            <w:tcW w:w="4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b/>
              </w:rPr>
            </w:pPr>
            <w:r>
              <w:rPr>
                <w:b/>
              </w:rPr>
              <w:t>4.</w:t>
            </w:r>
          </w:p>
        </w:tc>
        <w:tc>
          <w:tcPr>
            <w:tcW w:w="9940" w:type="dxa"/>
            <w:tcBorders/>
            <w:vAlign w:val="center"/>
          </w:tcPr>
          <w:p>
            <w:pPr>
              <w:pStyle w:val="TableContents"/>
              <w:bidi w:val="0"/>
              <w:spacing w:before="0" w:after="283"/>
              <w:jc w:val="both"/>
              <w:rPr>
                <w:b/>
                <w:u w:val="single"/>
              </w:rPr>
            </w:pPr>
            <w:r>
              <w:rPr>
                <w:b/>
                <w:u w:val="single"/>
              </w:rPr>
              <w:t>CONFIDENTIALITY, NON-COMPETITION AND INTELLECTUAL PROPERTY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sz w:val="20"/>
        </w:rPr>
      </w:pPr>
      <w:r>
        <w:rPr>
          <w:rFonts w:ascii="Times New Roman;Times;Serif" w:hAnsi="Times New Roman;Times;Serif"/>
          <w:b w:val="false"/>
          <w:i w:val="false"/>
          <w:caps/>
          <w:sz w:val="20"/>
        </w:rPr>
        <w:t xml:space="preserve">The Executive agrees to be bound by, and shall have executed and delivered to the Company, the Confidential Information, Non-Compete, Non-Solicitation and Invention Assignment Agreement, substantially in the form of </w:t>
      </w:r>
      <w:r>
        <w:rPr>
          <w:rFonts w:ascii="Times New Roman;Times;Serif" w:hAnsi="Times New Roman;Times;Serif"/>
          <w:b/>
          <w:i w:val="false"/>
          <w:caps/>
          <w:sz w:val="20"/>
          <w:u w:val="single"/>
        </w:rPr>
        <w:t>Exhibit B</w:t>
      </w:r>
      <w:r>
        <w:rPr>
          <w:rFonts w:ascii="Times New Roman;Times;Serif" w:hAnsi="Times New Roman;Times;Serif"/>
          <w:b w:val="false"/>
          <w:i w:val="false"/>
          <w:caps/>
          <w:sz w:val="20"/>
        </w:rPr>
        <w:t xml:space="preserve"> hereto</w:t>
      </w:r>
    </w:p>
    <w:p>
      <w:pPr>
        <w:pStyle w:val="TextBody"/>
        <w:bidi w:val="0"/>
        <w:spacing w:before="0" w:after="0"/>
        <w:ind w:left="72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7" w:type="dxa"/>
            <w:tcBorders/>
            <w:vAlign w:val="center"/>
          </w:tcPr>
          <w:p>
            <w:pPr>
              <w:pStyle w:val="TableContents"/>
              <w:bidi w:val="0"/>
              <w:spacing w:before="0" w:after="283"/>
              <w:jc w:val="both"/>
              <w:rPr/>
            </w:pPr>
            <w:r>
              <w:rPr>
                <w:u w:val="single"/>
              </w:rPr>
              <w:t>Fiduciary Obligation.</w:t>
            </w:r>
            <w:r>
              <w:rPr/>
              <w:t xml:space="preserve"> The Executive declares that the Executive’s relationship to the Company is that of fiduciary, and the Executive agrees to act towards the Company and otherwise behave as a fiduciary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7" w:type="dxa"/>
            <w:tcBorders/>
            <w:vAlign w:val="center"/>
          </w:tcPr>
          <w:p>
            <w:pPr>
              <w:pStyle w:val="TableContents"/>
              <w:bidi w:val="0"/>
              <w:spacing w:before="0" w:after="283"/>
              <w:jc w:val="both"/>
              <w:rPr/>
            </w:pPr>
            <w:r>
              <w:rPr>
                <w:u w:val="single"/>
              </w:rPr>
              <w:t>Remedies.</w:t>
            </w:r>
            <w:r>
              <w:rPr/>
              <w:t xml:space="preserve"> The parties to this Agreement recognize that any violation or threatened violation by the Executive of any of the provisions contained in this Article ‎4 may result in immediate and irreparable damage to the Company and that the Company could not adequately be compensated for such damage by monetary award alone. Accordingly, the Executive agrees that in the event of any such violation or threatened violation, the Company shall, in addition to any other remedies available to the Company at law or in equity, be entitled as a matter of right to apply to such relief by way of restraining order, temporary or permanent injunction and to such other relief as any court of competent jurisdiction may deem just and proper.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7" w:type="dxa"/>
            <w:tcBorders/>
            <w:vAlign w:val="center"/>
          </w:tcPr>
          <w:p>
            <w:pPr>
              <w:pStyle w:val="TableContents"/>
              <w:bidi w:val="0"/>
              <w:spacing w:before="0" w:after="283"/>
              <w:jc w:val="both"/>
              <w:rPr/>
            </w:pPr>
            <w:r>
              <w:rPr>
                <w:u w:val="single"/>
              </w:rPr>
              <w:t>Reasonable Restrictions.</w:t>
            </w:r>
            <w:r>
              <w:rPr/>
              <w:t xml:space="preserve"> The Executive agrees that all restrictions in this Article ‎4 are reasonable and valid, and all defenses to the strict enforcement thereof by the Company are hereby waived by the Executive.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318"/>
        <w:gridCol w:w="8637"/>
      </w:tblGrid>
      <w:tr>
        <w:trPr/>
        <w:tc>
          <w:tcPr>
            <w:tcW w:w="25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b/>
              </w:rPr>
            </w:pPr>
            <w:r>
              <w:rPr>
                <w:b/>
              </w:rPr>
              <w:t>5.</w:t>
            </w:r>
          </w:p>
        </w:tc>
        <w:tc>
          <w:tcPr>
            <w:tcW w:w="8637" w:type="dxa"/>
            <w:tcBorders/>
            <w:vAlign w:val="center"/>
          </w:tcPr>
          <w:p>
            <w:pPr>
              <w:pStyle w:val="TableContents"/>
              <w:bidi w:val="0"/>
              <w:spacing w:before="0" w:after="283"/>
              <w:jc w:val="both"/>
              <w:rPr>
                <w:b/>
                <w:u w:val="single"/>
              </w:rPr>
            </w:pPr>
            <w:r>
              <w:rPr>
                <w:b/>
                <w:u w:val="single"/>
              </w:rPr>
              <w:t>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7" w:type="dxa"/>
            <w:tcBorders/>
            <w:vAlign w:val="center"/>
          </w:tcPr>
          <w:p>
            <w:pPr>
              <w:pStyle w:val="TableContents"/>
              <w:bidi w:val="0"/>
              <w:spacing w:before="0" w:after="283"/>
              <w:jc w:val="both"/>
              <w:rPr/>
            </w:pPr>
            <w:r>
              <w:rPr>
                <w:u w:val="single"/>
              </w:rPr>
              <w:t>Termination For Cause or Disability.</w:t>
            </w:r>
            <w:r>
              <w:rPr/>
              <w:t xml:space="preserve"> This Agreement may be terminated at any time by the Company without notice, for Cause or in the event of the Disability of Executive. For the purposes of this Agreement, “</w:t>
            </w:r>
            <w:r>
              <w:rPr>
                <w:b/>
              </w:rPr>
              <w:t>Cause</w:t>
            </w:r>
            <w:r>
              <w:rPr/>
              <w:t>” shall mean circumstances upon the occurrence of which the Executive would not be entitled to severance pay according to the Severance Pay Law, 1963, and shall also means that the Executive shall have: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283"/>
              <w:jc w:val="both"/>
              <w:rPr/>
            </w:pPr>
            <w:r>
              <w:rPr/>
              <w:t>committed an act of fraud, embezzlement or theft in connection with the Executive’s duties or in the course of the Executive’s employment with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(b)</w:t>
            </w:r>
          </w:p>
        </w:tc>
        <w:tc>
          <w:tcPr>
            <w:tcW w:w="9890" w:type="dxa"/>
            <w:tcBorders/>
            <w:vAlign w:val="center"/>
          </w:tcPr>
          <w:p>
            <w:pPr>
              <w:pStyle w:val="TableContents"/>
              <w:bidi w:val="0"/>
              <w:spacing w:before="0" w:after="283"/>
              <w:jc w:val="both"/>
              <w:rPr/>
            </w:pPr>
            <w:r>
              <w:rPr/>
              <w:t>intentionally and wrongfully damaged property of the Company, or any of its respective affiliates, associates or customers;</w:t>
            </w:r>
          </w:p>
        </w:tc>
      </w:tr>
    </w:tbl>
    <w:p>
      <w:pPr>
        <w:pStyle w:val="TextBody"/>
        <w:bidi w:val="0"/>
        <w:spacing w:before="0" w:after="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275"/>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6965" w:type="dxa"/>
            <w:tcBorders/>
            <w:vAlign w:val="center"/>
          </w:tcPr>
          <w:p>
            <w:pPr>
              <w:pStyle w:val="TableContents"/>
              <w:bidi w:val="0"/>
              <w:spacing w:before="0" w:after="283"/>
              <w:jc w:val="both"/>
              <w:rPr/>
            </w:pPr>
            <w:r>
              <w:rPr/>
              <w:t>intentionally or wrongfully disclosed any of the Confidential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both"/>
              <w:rPr/>
            </w:pPr>
            <w:r>
              <w:rPr/>
              <w:t>made material personal benefit at the expense of the Company without the prior written consent of the management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(e)</w:t>
            </w:r>
          </w:p>
        </w:tc>
        <w:tc>
          <w:tcPr>
            <w:tcW w:w="9913" w:type="dxa"/>
            <w:tcBorders/>
            <w:vAlign w:val="center"/>
          </w:tcPr>
          <w:p>
            <w:pPr>
              <w:pStyle w:val="TableContents"/>
              <w:bidi w:val="0"/>
              <w:spacing w:before="0" w:after="283"/>
              <w:jc w:val="both"/>
              <w:rPr/>
            </w:pPr>
            <w:r>
              <w:rPr/>
              <w:t>accepted shares or options or any other gifts or benefits from a vendor without the prior written consent of the management of the Company;</w:t>
            </w:r>
          </w:p>
        </w:tc>
      </w:tr>
    </w:tbl>
    <w:p>
      <w:pPr>
        <w:pStyle w:val="TextBody"/>
        <w:bidi w:val="0"/>
        <w:spacing w:before="0" w:after="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45"/>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9320" w:type="dxa"/>
            <w:tcBorders/>
            <w:vAlign w:val="center"/>
          </w:tcPr>
          <w:p>
            <w:pPr>
              <w:pStyle w:val="TableContents"/>
              <w:bidi w:val="0"/>
              <w:spacing w:before="0" w:after="283"/>
              <w:jc w:val="both"/>
              <w:rPr/>
            </w:pPr>
            <w:r>
              <w:rPr/>
              <w:t>fundamentally breached any of the Executive’s material covenants contained in this Agreement;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(g)</w:t>
            </w:r>
          </w:p>
        </w:tc>
        <w:tc>
          <w:tcPr>
            <w:tcW w:w="9927" w:type="dxa"/>
            <w:tcBorders/>
            <w:vAlign w:val="center"/>
          </w:tcPr>
          <w:p>
            <w:pPr>
              <w:pStyle w:val="TableContents"/>
              <w:bidi w:val="0"/>
              <w:spacing w:before="0" w:after="283"/>
              <w:jc w:val="both"/>
              <w:rPr/>
            </w:pPr>
            <w:r>
              <w:rPr/>
              <w:t>willfully and persistently, without reasonable justification, failed or refused to follow the lawful and proper directives of the Company specifying in reasonable detail the alleged failure or refusal and after a reasonable opportunity for the Executive to cure the alleged failure or refusal.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Agreement, an act or omission on the part of the Executive shall not be deemed “intentional,” if it was due to an error in judgment or negligence, but shall be deemed “intentional” if done by the Executive not in good faith and without reasonable belief that the act or omission was in the best interests of the Company, or its respective affiliates, associates or customers.</w:t>
      </w:r>
    </w:p>
    <w:p>
      <w:pPr>
        <w:pStyle w:val="TextBody"/>
        <w:bidi w:val="0"/>
        <w:spacing w:before="0" w:after="0"/>
        <w:ind w:left="1440" w:right="0" w:hanging="22"/>
        <w:jc w:val="left"/>
        <w:rPr>
          <w:caps w:val="false"/>
          <w:smallCaps w:val="false"/>
        </w:rPr>
      </w:pPr>
      <w:r>
        <w:rPr>
          <w:caps w:val="false"/>
          <w:smallCaps w:val="false"/>
        </w:rPr>
        <w:t> </w:t>
      </w:r>
    </w:p>
    <w:p>
      <w:pPr>
        <w:pStyle w:val="TextBody"/>
        <w:bidi w:val="0"/>
        <w:spacing w:before="0" w:after="0"/>
        <w:ind w:left="720" w:right="0" w:hanging="2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Agreement, “</w:t>
      </w:r>
      <w:r>
        <w:rPr>
          <w:rFonts w:ascii="Times New Roman;Times;Serif" w:hAnsi="Times New Roman;Times;Serif"/>
          <w:b/>
          <w:i w:val="false"/>
          <w:caps w:val="false"/>
          <w:smallCaps w:val="false"/>
          <w:sz w:val="20"/>
        </w:rPr>
        <w:t>Disability</w:t>
      </w:r>
      <w:r>
        <w:rPr>
          <w:rFonts w:ascii="Times New Roman;Times;Serif" w:hAnsi="Times New Roman;Times;Serif"/>
          <w:b w:val="false"/>
          <w:i w:val="false"/>
          <w:caps w:val="false"/>
          <w:smallCaps w:val="false"/>
          <w:sz w:val="20"/>
        </w:rPr>
        <w:t>” shall mean any physical or mental illness or injury as a result of which Executive remains absent from work for a period of six (6) successive months, or an aggregate of six (6) months in any twelve (12) month period. Disability shall occur upon the end of such six-month period.</w:t>
      </w:r>
    </w:p>
    <w:p>
      <w:pPr>
        <w:pStyle w:val="TextBody"/>
        <w:bidi w:val="0"/>
        <w:spacing w:before="0" w:after="0"/>
        <w:ind w:left="1440" w:right="0" w:hanging="2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5.2</w:t>
            </w:r>
          </w:p>
        </w:tc>
        <w:tc>
          <w:tcPr>
            <w:tcW w:w="9847" w:type="dxa"/>
            <w:tcBorders/>
            <w:vAlign w:val="center"/>
          </w:tcPr>
          <w:p>
            <w:pPr>
              <w:pStyle w:val="TableContents"/>
              <w:bidi w:val="0"/>
              <w:spacing w:before="0" w:after="283"/>
              <w:jc w:val="both"/>
              <w:rPr/>
            </w:pPr>
            <w:r>
              <w:rPr>
                <w:u w:val="single"/>
              </w:rPr>
              <w:t>Termination Without Cause.</w:t>
            </w:r>
            <w:r>
              <w:rPr/>
              <w:t xml:space="preserve"> Either the Executive or the Company may terminate the Executive’s employment without Cause, for any reason whatsoever, with 60 days prior written notice. If the Executive’s employment is terminated by the Company without Cause in connection with a Change in Control (as defined below) that occurs during the period that is three months prior and 12 months after the event, the following provisions shall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(a)</w:t>
            </w:r>
          </w:p>
        </w:tc>
        <w:tc>
          <w:tcPr>
            <w:tcW w:w="9914" w:type="dxa"/>
            <w:tcBorders/>
            <w:vAlign w:val="center"/>
          </w:tcPr>
          <w:p>
            <w:pPr>
              <w:pStyle w:val="TableContents"/>
              <w:bidi w:val="0"/>
              <w:spacing w:before="0" w:after="283"/>
              <w:jc w:val="both"/>
              <w:rPr/>
            </w:pPr>
            <w:r>
              <w:rPr/>
              <w:t>The Executive will be entitled to receive 12 months severance, which is defined as base salary plus on-target bonus over the severance period.</w:t>
            </w:r>
          </w:p>
        </w:tc>
      </w:tr>
    </w:tbl>
    <w:p>
      <w:pPr>
        <w:pStyle w:val="TextBody"/>
        <w:bidi w:val="0"/>
        <w:spacing w:before="0" w:after="0"/>
        <w:jc w:val="left"/>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290"/>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710" w:type="dxa"/>
            <w:tcBorders/>
            <w:vAlign w:val="center"/>
          </w:tcPr>
          <w:p>
            <w:pPr>
              <w:pStyle w:val="TableContents"/>
              <w:bidi w:val="0"/>
              <w:spacing w:before="0" w:after="283"/>
              <w:jc w:val="both"/>
              <w:rPr/>
            </w:pPr>
            <w:r>
              <w:rPr/>
              <w:t>The Executive will be entitled to full vesting acceleration of all outstanding unvested equity incentives.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means the sale or disposition, in one or a series of related transactions, of all or substantially all of the assets, or stock, or over fifty percent (50%) of the voting stock to any “person” or “group” (as such terms are defined in Sections 13(d)(3) and 14(d)(2) of the Exchange Act), or any person or group is or becomes the “beneficial owner” (as defined in Rules 13d-3 and 13d-5 under the Exchange Act), directly or indirectly, of more than fifty percent (50%) of the total voting power of the voting stock of the Company, including by way of merger, consolidation or otherwise.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320"/>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5.3</w:t>
            </w:r>
          </w:p>
        </w:tc>
        <w:tc>
          <w:tcPr>
            <w:tcW w:w="1835" w:type="dxa"/>
            <w:tcBorders/>
            <w:vAlign w:val="center"/>
          </w:tcPr>
          <w:p>
            <w:pPr>
              <w:pStyle w:val="TableContents"/>
              <w:bidi w:val="0"/>
              <w:spacing w:before="0" w:after="283"/>
              <w:jc w:val="both"/>
              <w:rPr/>
            </w:pPr>
            <w:r>
              <w:rPr>
                <w:u w:val="single"/>
              </w:rPr>
              <w:t>The Notice Period</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(a)</w:t>
            </w:r>
          </w:p>
        </w:tc>
        <w:tc>
          <w:tcPr>
            <w:tcW w:w="9946" w:type="dxa"/>
            <w:tcBorders/>
            <w:vAlign w:val="center"/>
          </w:tcPr>
          <w:p>
            <w:pPr>
              <w:pStyle w:val="TableContents"/>
              <w:bidi w:val="0"/>
              <w:spacing w:before="0" w:after="283"/>
              <w:jc w:val="both"/>
              <w:rPr/>
            </w:pPr>
            <w:r>
              <w:rPr/>
              <w:t>During the period following the notice of termination (the “</w:t>
            </w:r>
            <w:r>
              <w:rPr>
                <w:b/>
              </w:rPr>
              <w:t>Notice Period</w:t>
            </w:r>
            <w:r>
              <w:rPr/>
              <w:t>”), Executive shall cooperate with the Company and use his best efforts to assist the integration into the Company’s organization of the person or persons who will assume Executive’s responsibilities, and shall act according to the instructions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both"/>
              <w:rPr/>
            </w:pPr>
            <w:r>
              <w:rPr/>
              <w:t>During the Notice Period, the Executive shall continue to perform his duties until the conclusion of the Notice Period. Nevertheless, the Company shall be entitled, but not obligated, at any time prior to the expiration of the Notice Period, at its sole discretion: (i) to waive the Executive’s actual work during the Notice Period, or to reduce the scope of the Executive’s work hours, while continuing to pay the Executive his regular payments and benefits until the completion of the Notice Period; or (ii) terminate this Employment Agreement and the employment relationship, at any time prior to the expiration of the Notice Period, and pay a cash equivalent to his Salary for the remainder of the Noticed Period as a payment in lieu of prior notice in accordance with the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(c)</w:t>
            </w:r>
          </w:p>
        </w:tc>
        <w:tc>
          <w:tcPr>
            <w:tcW w:w="9949" w:type="dxa"/>
            <w:tcBorders/>
            <w:vAlign w:val="center"/>
          </w:tcPr>
          <w:p>
            <w:pPr>
              <w:pStyle w:val="TableContents"/>
              <w:bidi w:val="0"/>
              <w:spacing w:before="0" w:after="283"/>
              <w:jc w:val="both"/>
              <w:rPr/>
            </w:pPr>
            <w:r>
              <w:rPr/>
              <w:t>It is hereby expressly stated that the Company reserves the right to terminate the Executive’s employment at any time during the Notice Period, regardless of whether notice of termination of employment was delivered by the Company or whether such notice was delivered by the Executive. In the latter case, such termination shall not constitute a dismissal of the Executive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(d)</w:t>
            </w:r>
          </w:p>
        </w:tc>
        <w:tc>
          <w:tcPr>
            <w:tcW w:w="9919" w:type="dxa"/>
            <w:tcBorders/>
            <w:vAlign w:val="center"/>
          </w:tcPr>
          <w:p>
            <w:pPr>
              <w:pStyle w:val="TableContents"/>
              <w:bidi w:val="0"/>
              <w:spacing w:before="0" w:after="283"/>
              <w:jc w:val="both"/>
              <w:rPr/>
            </w:pPr>
            <w:r>
              <w:rPr/>
              <w:t>Notwithstanding the foregoing, the Company may terminate the Executive’s employment without the delivery of prior written notice, in the event of termination under circumstances as described in Section 5.1 above.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1" w:type="dxa"/>
            <w:tcBorders/>
            <w:vAlign w:val="center"/>
          </w:tcPr>
          <w:p>
            <w:pPr>
              <w:pStyle w:val="TableContents"/>
              <w:bidi w:val="0"/>
              <w:spacing w:before="0" w:after="283"/>
              <w:jc w:val="both"/>
              <w:rPr/>
            </w:pPr>
            <w:r>
              <w:rPr/>
              <w:t>In the event that the Executive terminates his employment with the Company, for any reason, without the delivery of a written notice in accordance with Section 5.2 above, or without the completion of the Notice Period or any part thereof, the Company will be entitled to deduct from any debt which it may owe the Executive an amount equal to the salary that would have been paid to the Executive during the Notice Period, had he worked.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5.4</w:t>
            </w:r>
          </w:p>
        </w:tc>
        <w:tc>
          <w:tcPr>
            <w:tcW w:w="9847" w:type="dxa"/>
            <w:tcBorders/>
            <w:vAlign w:val="center"/>
          </w:tcPr>
          <w:p>
            <w:pPr>
              <w:pStyle w:val="TableContents"/>
              <w:bidi w:val="0"/>
              <w:spacing w:before="0" w:after="283"/>
              <w:jc w:val="both"/>
              <w:rPr/>
            </w:pPr>
            <w:r>
              <w:rPr>
                <w:u w:val="single"/>
              </w:rPr>
              <w:t>Return of Materials.</w:t>
            </w:r>
            <w:r>
              <w:rPr/>
              <w:t xml:space="preserve"> Upon termination of employment hereunder, or upon any request by the Company at any time, the Executive will return or cause to be returned any and all Confidential Information and other assets of the Company (including all originals and copies thereof), which “assets” include, without limitation, hardware, software, keys, security cards and backup tapes that were provided to the Executive either for the purpose of performing the employment services hereunder or for any other reason. The Executive acknowledges that the Confidential Information and the assets are proprietary to the Company, and the Executive agrees to return them to the Company in the same condition as the Executive received such Confidential Information and assets. In addition, immediately upon the termination of his employment with the Company (for any reason) or at such other time as directed by the Company, following coordination with the Company’s IT persons, he shall delete any information relating to the Company or its business from his personal computer, if 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5.5</w:t>
            </w:r>
          </w:p>
        </w:tc>
        <w:tc>
          <w:tcPr>
            <w:tcW w:w="9847" w:type="dxa"/>
            <w:tcBorders/>
            <w:vAlign w:val="center"/>
          </w:tcPr>
          <w:p>
            <w:pPr>
              <w:pStyle w:val="TableContents"/>
              <w:bidi w:val="0"/>
              <w:spacing w:before="0" w:after="283"/>
              <w:jc w:val="both"/>
              <w:rPr/>
            </w:pPr>
            <w:r>
              <w:rPr>
                <w:u w:val="single"/>
              </w:rPr>
              <w:t>Effect of Termination</w:t>
            </w:r>
            <w:r>
              <w:rPr/>
              <w:t>. Articles ‎4 and Exhibit B hereto shall remain in full force and effect after termination of this Agreement, for any reason whatsoever.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751"/>
        <w:gridCol w:w="9312"/>
      </w:tblGrid>
      <w:tr>
        <w:trPr/>
        <w:tc>
          <w:tcPr>
            <w:tcW w:w="1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b/>
              </w:rPr>
            </w:pPr>
            <w:r>
              <w:rPr>
                <w:b/>
              </w:rPr>
              <w:t>6.</w:t>
            </w:r>
          </w:p>
        </w:tc>
        <w:tc>
          <w:tcPr>
            <w:tcW w:w="9312" w:type="dxa"/>
            <w:tcBorders/>
            <w:vAlign w:val="center"/>
          </w:tcPr>
          <w:p>
            <w:pPr>
              <w:pStyle w:val="TableContents"/>
              <w:bidi w:val="0"/>
              <w:spacing w:before="0" w:after="283"/>
              <w:jc w:val="both"/>
              <w:rPr>
                <w:b/>
                <w:u w:val="single"/>
              </w:rPr>
            </w:pPr>
            <w:r>
              <w:rPr>
                <w:b/>
                <w:u w:val="single"/>
              </w:rPr>
              <w:t>Mutual Representations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7" w:type="dxa"/>
            <w:tcBorders/>
            <w:vAlign w:val="center"/>
          </w:tcPr>
          <w:p>
            <w:pPr>
              <w:pStyle w:val="TableContents"/>
              <w:bidi w:val="0"/>
              <w:spacing w:before="0" w:after="283"/>
              <w:jc w:val="both"/>
              <w:rPr/>
            </w:pPr>
            <w:r>
              <w:rPr/>
              <w:t>Executive represents and warrants to the Company that the execution and delivery of this Agreement and the fulfillment of the terms hereof (i) will not constitute a default under or conflict with any agreement or other instrument to which he is a party or by which he is bound, and (ii) do not require the consent of any person or entity.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7" w:type="dxa"/>
            <w:tcBorders/>
            <w:vAlign w:val="center"/>
          </w:tcPr>
          <w:p>
            <w:pPr>
              <w:pStyle w:val="TableContents"/>
              <w:bidi w:val="0"/>
              <w:spacing w:before="0" w:after="283"/>
              <w:jc w:val="both"/>
              <w:rPr/>
            </w:pPr>
            <w:r>
              <w:rPr/>
              <w:t>The Company represents and warrants to Executive that this Agreement has been duly authorized, executed and delivered by the Company and that the fulfillment of the terms hereof (i) will not constitute a default under or conflict with any agreement of other instrument to which it is a party or by which it is bound, and (ii) do not require the consent of any person of entity.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9847" w:type="dxa"/>
            <w:tcBorders/>
            <w:vAlign w:val="center"/>
          </w:tcPr>
          <w:p>
            <w:pPr>
              <w:pStyle w:val="TableContents"/>
              <w:bidi w:val="0"/>
              <w:spacing w:before="0" w:after="283"/>
              <w:jc w:val="both"/>
              <w:rPr/>
            </w:pPr>
            <w:r>
              <w:rPr/>
              <w:t>Each party hereto warrants and represents to the other that this Agreement constitutes the valid and binding obligation of such party enforceable against such party in accordance with its terms subject to applicable bankruptcy, insolvency, moratorium and similar laws affecting creditors’ rights generally, and subject, as to enforceability, to general principles of equity (regardless if enforcement is sought in proceeding in equity or at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4"/>
        <w:gridCol w:w="2025"/>
        <w:gridCol w:w="7796"/>
      </w:tblGrid>
      <w:tr>
        <w:trPr/>
        <w:tc>
          <w:tcPr>
            <w:tcW w:w="38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b/>
              </w:rPr>
            </w:pPr>
            <w:r>
              <w:rPr>
                <w:b/>
              </w:rPr>
              <w:t>7.</w:t>
            </w:r>
          </w:p>
        </w:tc>
        <w:tc>
          <w:tcPr>
            <w:tcW w:w="7796" w:type="dxa"/>
            <w:tcBorders/>
            <w:vAlign w:val="center"/>
          </w:tcPr>
          <w:p>
            <w:pPr>
              <w:pStyle w:val="TableContents"/>
              <w:bidi w:val="0"/>
              <w:spacing w:before="0" w:after="283"/>
              <w:jc w:val="both"/>
              <w:rPr>
                <w:b/>
                <w:u w:val="single"/>
              </w:rPr>
            </w:pPr>
            <w:r>
              <w:rPr>
                <w:b/>
                <w:u w:val="single"/>
              </w:rPr>
              <w:t>Notices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7" w:type="dxa"/>
            <w:tcBorders/>
            <w:vAlign w:val="center"/>
          </w:tcPr>
          <w:p>
            <w:pPr>
              <w:pStyle w:val="TableContents"/>
              <w:bidi w:val="0"/>
              <w:spacing w:before="0" w:after="283"/>
              <w:jc w:val="both"/>
              <w:rPr/>
            </w:pPr>
            <w:r>
              <w:rPr>
                <w:u w:val="single"/>
              </w:rPr>
              <w:t>Notices.</w:t>
            </w:r>
            <w:r>
              <w:rPr/>
              <w:t xml:space="preserve"> All notices required or allowed to be given under this Agreement shall be made either personally by delivery to or by facsimile transmission to the address as hereinafter set forth or to such other address as may be designated from time to time by such party in writing:</w:t>
            </w:r>
          </w:p>
        </w:tc>
      </w:tr>
    </w:tbl>
    <w:p>
      <w:pPr>
        <w:pStyle w:val="TextBody"/>
        <w:bidi w:val="0"/>
        <w:spacing w:before="0" w:after="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75"/>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2975" w:type="dxa"/>
            <w:tcBorders/>
            <w:vAlign w:val="center"/>
          </w:tcPr>
          <w:p>
            <w:pPr>
              <w:pStyle w:val="TableContents"/>
              <w:bidi w:val="0"/>
              <w:spacing w:before="0" w:after="283"/>
              <w:jc w:val="both"/>
              <w:rPr/>
            </w:pPr>
            <w:r>
              <w:rPr/>
              <w:t>in the case of the Company, to:</w:t>
            </w:r>
          </w:p>
        </w:tc>
      </w:tr>
    </w:tbl>
    <w:p>
      <w:pPr>
        <w:pStyle w:val="TextBody"/>
        <w:bidi w:val="0"/>
        <w:spacing w:before="0" w:after="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60"/>
        <w:gridCol w:w="1010"/>
        <w:gridCol w:w="14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b/>
              </w:rPr>
            </w:pPr>
            <w:r>
              <w:rPr>
                <w:b/>
              </w:rPr>
              <w:t>Oramed Ltd.</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pPr>
            <w:r>
              <w:rPr/>
              <w:t>Mamila 20,</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pPr>
            <w:r>
              <w:rPr/>
              <w:t>PO Box 39098</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pPr>
            <w:r>
              <w:rPr/>
              <w:t>Jerusalem</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both"/>
              <w:rPr/>
            </w:pPr>
            <w:r>
              <w:rPr/>
              <w:t>Israel Fax:</w:t>
            </w:r>
          </w:p>
        </w:tc>
        <w:tc>
          <w:tcPr>
            <w:tcW w:w="1475" w:type="dxa"/>
            <w:tcBorders/>
            <w:vAlign w:val="center"/>
          </w:tcPr>
          <w:p>
            <w:pPr>
              <w:pStyle w:val="TableContents"/>
              <w:bidi w:val="0"/>
              <w:spacing w:before="0" w:after="283"/>
              <w:jc w:val="both"/>
              <w:rPr/>
            </w:pPr>
            <w:r>
              <w:rPr/>
              <w:t>972 2 5660004</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38"/>
        <w:gridCol w:w="29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290" w:type="dxa"/>
            <w:tcBorders/>
            <w:vAlign w:val="center"/>
          </w:tcPr>
          <w:p>
            <w:pPr>
              <w:pStyle w:val="TableContents"/>
              <w:bidi w:val="0"/>
              <w:spacing w:before="0" w:after="283"/>
              <w:jc w:val="both"/>
              <w:rPr/>
            </w:pPr>
            <w:r>
              <w:rPr/>
              <w:t>and in the case of the Executive, to the Executive’s last residence address known to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7" w:type="dxa"/>
            <w:tcBorders/>
            <w:vAlign w:val="center"/>
          </w:tcPr>
          <w:p>
            <w:pPr>
              <w:pStyle w:val="TableContents"/>
              <w:bidi w:val="0"/>
              <w:spacing w:before="0" w:after="283"/>
              <w:jc w:val="both"/>
              <w:rPr/>
            </w:pPr>
            <w:r>
              <w:rPr>
                <w:u w:val="single"/>
              </w:rPr>
              <w:t>Change of Address.</w:t>
            </w:r>
            <w:r>
              <w:rPr/>
              <w:t xml:space="preserve"> Any party may, from time to time, change its address for service hereunder by written notice to the other party in the manner aforesaid.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372"/>
        <w:gridCol w:w="8573"/>
      </w:tblGrid>
      <w:tr>
        <w:trPr/>
        <w:tc>
          <w:tcPr>
            <w:tcW w:w="260"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b/>
              </w:rPr>
            </w:pPr>
            <w:r>
              <w:rPr>
                <w:b/>
              </w:rPr>
              <w:t>8.</w:t>
            </w:r>
          </w:p>
        </w:tc>
        <w:tc>
          <w:tcPr>
            <w:tcW w:w="8573" w:type="dxa"/>
            <w:tcBorders/>
            <w:vAlign w:val="center"/>
          </w:tcPr>
          <w:p>
            <w:pPr>
              <w:pStyle w:val="TableContents"/>
              <w:bidi w:val="0"/>
              <w:spacing w:before="0" w:after="283"/>
              <w:jc w:val="both"/>
              <w:rPr>
                <w:b/>
                <w:u w:val="single"/>
              </w:rPr>
            </w:pPr>
            <w:r>
              <w:rPr>
                <w:b/>
                <w:u w:val="single"/>
              </w:rPr>
              <w:t>GENERAL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7" w:type="dxa"/>
            <w:tcBorders/>
            <w:vAlign w:val="center"/>
          </w:tcPr>
          <w:p>
            <w:pPr>
              <w:pStyle w:val="TableContents"/>
              <w:bidi w:val="0"/>
              <w:spacing w:before="0" w:after="283"/>
              <w:jc w:val="both"/>
              <w:rPr/>
            </w:pPr>
            <w:r>
              <w:rPr>
                <w:u w:val="single"/>
              </w:rPr>
              <w:t>Entire Agreement.</w:t>
            </w:r>
            <w:r>
              <w:rPr/>
              <w:t xml:space="preserve"> As of from the date hereof, any and all previous agreements, written or oral between the parties hereto or on their behalf relating to the employment of the Executive by the Company are null and void. The parties hereto agree that they have expressed herein their entire understanding and agreement concerning the subject matter of this Agreement and it is expressly agreed that no implied covenant, condition, term or reservation or prior representation or warranty shall be read into this Agreement relating to or concerning the subject matter hereof or any matter or operation provided for 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7" w:type="dxa"/>
            <w:tcBorders/>
            <w:vAlign w:val="center"/>
          </w:tcPr>
          <w:p>
            <w:pPr>
              <w:pStyle w:val="TableContents"/>
              <w:bidi w:val="0"/>
              <w:spacing w:before="0" w:after="283"/>
              <w:jc w:val="both"/>
              <w:rPr/>
            </w:pPr>
            <w:r>
              <w:rPr>
                <w:u w:val="single"/>
              </w:rPr>
              <w:t>Personal Agreement</w:t>
            </w:r>
            <w:r>
              <w:rPr/>
              <w:t>. The provisions of this Agreement are in lieu of the provisions of any collective bargaining agreement, and therefore, no collective bargaining agreement shall apply with respect to the relationship between the parties hereto (subject to the applicable provisions of law).</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7" w:type="dxa"/>
            <w:tcBorders/>
            <w:vAlign w:val="center"/>
          </w:tcPr>
          <w:p>
            <w:pPr>
              <w:pStyle w:val="TableContents"/>
              <w:bidi w:val="0"/>
              <w:spacing w:before="0" w:after="283"/>
              <w:jc w:val="both"/>
              <w:rPr/>
            </w:pPr>
            <w:r>
              <w:rPr>
                <w:u w:val="single"/>
              </w:rPr>
              <w:t>Further Assurances.</w:t>
            </w:r>
            <w:r>
              <w:rPr/>
              <w:t xml:space="preserve"> Each party hereto will promptly and duly execute and deliver to the other party such further documents and assurances and take such further action as such other party may from time to time reasonably request in order to more effectively carry out the intent and purpose of this Agreement and to establish and protect the rights and remedies created or intended to be created hereby.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7" w:type="dxa"/>
            <w:tcBorders/>
            <w:vAlign w:val="center"/>
          </w:tcPr>
          <w:p>
            <w:pPr>
              <w:pStyle w:val="TableContents"/>
              <w:bidi w:val="0"/>
              <w:spacing w:before="0" w:after="283"/>
              <w:jc w:val="both"/>
              <w:rPr/>
            </w:pPr>
            <w:r>
              <w:rPr>
                <w:u w:val="single"/>
              </w:rPr>
              <w:t>Waiver.</w:t>
            </w:r>
            <w:r>
              <w:rPr/>
              <w:t xml:space="preserve"> No provision hereof shall be deemed waived and no breach excused, unless such waiver or consent excusing the breach is made in writing and signed by the party to be charged with such waiver or consent. A waiver by a party of any provision of this Agreement shall not be construed as a waiver of a further breach of the same provision.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7" w:type="dxa"/>
            <w:tcBorders/>
            <w:vAlign w:val="center"/>
          </w:tcPr>
          <w:p>
            <w:pPr>
              <w:pStyle w:val="TableContents"/>
              <w:bidi w:val="0"/>
              <w:spacing w:before="0" w:after="283"/>
              <w:jc w:val="both"/>
              <w:rPr/>
            </w:pPr>
            <w:r>
              <w:rPr>
                <w:u w:val="single"/>
              </w:rPr>
              <w:t>Amendments in Writing.</w:t>
            </w:r>
            <w:r>
              <w:rPr/>
              <w:t xml:space="preserve"> No amendment, modification or rescission of this Agreement shall be effective unless set forth in writing and signed by the parties hereto.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8.6</w:t>
            </w:r>
          </w:p>
        </w:tc>
        <w:tc>
          <w:tcPr>
            <w:tcW w:w="9847" w:type="dxa"/>
            <w:tcBorders/>
            <w:vAlign w:val="center"/>
          </w:tcPr>
          <w:p>
            <w:pPr>
              <w:pStyle w:val="TableContents"/>
              <w:bidi w:val="0"/>
              <w:spacing w:before="0" w:after="283"/>
              <w:jc w:val="both"/>
              <w:rPr/>
            </w:pPr>
            <w:r>
              <w:rPr>
                <w:u w:val="single"/>
              </w:rPr>
              <w:t>Assignment.</w:t>
            </w:r>
            <w:r>
              <w:rPr/>
              <w:t xml:space="preserve"> Except as herein expressly provided, the respective rights and obligations of the Executive and the Company under this Agreement shall not be assignable by either party without the written consent of the other party and shall, subject to the foregoing, enure to the benefit of and be binding upon the Executive and the Company and their permitted successors or assigns. Nothing herein expressed or implied is intended to confer on any person other than the parties hereto any rights, remedies, obligations or liabilities under or by reason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- 11 -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8.7</w:t>
            </w:r>
          </w:p>
        </w:tc>
        <w:tc>
          <w:tcPr>
            <w:tcW w:w="9847" w:type="dxa"/>
            <w:tcBorders/>
            <w:vAlign w:val="center"/>
          </w:tcPr>
          <w:p>
            <w:pPr>
              <w:pStyle w:val="TableContents"/>
              <w:bidi w:val="0"/>
              <w:spacing w:before="0" w:after="283"/>
              <w:jc w:val="both"/>
              <w:rPr/>
            </w:pPr>
            <w:r>
              <w:rPr>
                <w:u w:val="single"/>
              </w:rPr>
              <w:t>Severability.</w:t>
            </w:r>
            <w:r>
              <w:rPr/>
              <w:t xml:space="preserve"> In the event that any provision contained in this Agreement shall be declared invalid, illegal or unenforceable by a court or other lawful authority of competent jurisdiction, such provision shall be deemed not to affect or impair the validity or enforceability of any other provision of this Agreement, which shall continue to have full force and effect.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8.8</w:t>
            </w:r>
          </w:p>
        </w:tc>
        <w:tc>
          <w:tcPr>
            <w:tcW w:w="9847" w:type="dxa"/>
            <w:tcBorders/>
            <w:vAlign w:val="center"/>
          </w:tcPr>
          <w:p>
            <w:pPr>
              <w:pStyle w:val="TableContents"/>
              <w:bidi w:val="0"/>
              <w:spacing w:before="0" w:after="283"/>
              <w:jc w:val="both"/>
              <w:rPr/>
            </w:pPr>
            <w:r>
              <w:rPr>
                <w:u w:val="single"/>
              </w:rPr>
              <w:t>Headings.</w:t>
            </w:r>
            <w:r>
              <w:rPr/>
              <w:t xml:space="preserve"> The headings in this Agreement are inserted for convenience of reference only and shall not affect the construction or interpretation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8.9</w:t>
            </w:r>
          </w:p>
        </w:tc>
        <w:tc>
          <w:tcPr>
            <w:tcW w:w="9847" w:type="dxa"/>
            <w:tcBorders/>
            <w:vAlign w:val="center"/>
          </w:tcPr>
          <w:p>
            <w:pPr>
              <w:pStyle w:val="TableContents"/>
              <w:bidi w:val="0"/>
              <w:spacing w:before="0" w:after="283"/>
              <w:jc w:val="both"/>
              <w:rPr/>
            </w:pPr>
            <w:r>
              <w:rPr>
                <w:u w:val="single"/>
              </w:rPr>
              <w:t>Number and Gender.</w:t>
            </w:r>
            <w:r>
              <w:rPr/>
              <w:t xml:space="preserve"> Wherever the singular or masculine or neuter is used in this Agreement, the same shall be construed as meaning the plural or feminine or a body politic or corporate and vice versa where the context so requires.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8.10</w:t>
            </w:r>
          </w:p>
        </w:tc>
        <w:tc>
          <w:tcPr>
            <w:tcW w:w="9727" w:type="dxa"/>
            <w:tcBorders/>
            <w:vAlign w:val="center"/>
          </w:tcPr>
          <w:p>
            <w:pPr>
              <w:pStyle w:val="TableContents"/>
              <w:bidi w:val="0"/>
              <w:spacing w:before="0" w:after="283"/>
              <w:jc w:val="both"/>
              <w:rPr/>
            </w:pPr>
            <w:r>
              <w:rPr>
                <w:u w:val="single"/>
              </w:rPr>
              <w:t>Governing Law.</w:t>
            </w:r>
            <w:r>
              <w:rPr/>
              <w:t xml:space="preserve"> This Agreement shall be exclusively construed and interpreted in accordance with the laws of the state of Israel applicable therein, and each of the parties hereto expressly agrees to the jurisdiction of the courts of the state of Israel. The sole and exclusive place of jurisdiction in any matter arising out of or in connection with this Agreement shall be the applicable Tel-Aviv court.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8.11</w:t>
            </w:r>
          </w:p>
        </w:tc>
        <w:tc>
          <w:tcPr>
            <w:tcW w:w="9727" w:type="dxa"/>
            <w:tcBorders/>
            <w:vAlign w:val="center"/>
          </w:tcPr>
          <w:p>
            <w:pPr>
              <w:pStyle w:val="TableContents"/>
              <w:bidi w:val="0"/>
              <w:spacing w:before="0" w:after="283"/>
              <w:jc w:val="both"/>
              <w:rPr/>
            </w:pPr>
            <w:r>
              <w:rPr>
                <w:u w:val="single"/>
              </w:rPr>
              <w:t>Enurement.</w:t>
            </w:r>
            <w:r>
              <w:rPr/>
              <w:t xml:space="preserve"> This Agreement is intended to bind and enure to the benefit of the Company, its successors and assigns, and the Executive and the personal legal representatives of the Executive.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8.12</w:t>
            </w:r>
          </w:p>
        </w:tc>
        <w:tc>
          <w:tcPr>
            <w:tcW w:w="9727" w:type="dxa"/>
            <w:tcBorders/>
            <w:vAlign w:val="center"/>
          </w:tcPr>
          <w:p>
            <w:pPr>
              <w:pStyle w:val="TableContents"/>
              <w:bidi w:val="0"/>
              <w:spacing w:before="0" w:after="283"/>
              <w:jc w:val="both"/>
              <w:rPr/>
            </w:pPr>
            <w:r>
              <w:rPr/>
              <w:t>This Agreement shall be deemed due notification regarding the Executive’s employment terms in accordance with the provisions of the Notice to Executive and to Candidate (Employment Terms and Screening and Acceptance to Work Proceedings) Law, 2002 and the regulations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Employment Agreement as of the date first written above.</w:t>
      </w:r>
    </w:p>
    <w:p>
      <w:pPr>
        <w:pStyle w:val="TextBody"/>
        <w:bidi w:val="0"/>
        <w:spacing w:before="0" w:after="0"/>
        <w:ind w:left="0" w:right="0" w:hanging="0"/>
        <w:jc w:val="center"/>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015"/>
        <w:gridCol w:w="60"/>
        <w:gridCol w:w="2675"/>
      </w:tblGrid>
      <w:tr>
        <w:trPr/>
        <w:tc>
          <w:tcPr>
            <w:tcW w:w="2015" w:type="dxa"/>
            <w:tcBorders/>
            <w:vAlign w:val="center"/>
          </w:tcPr>
          <w:p>
            <w:pPr>
              <w:pStyle w:val="TableContents"/>
              <w:bidi w:val="0"/>
              <w:spacing w:before="0" w:after="283"/>
              <w:jc w:val="left"/>
              <w:rPr>
                <w:b/>
              </w:rPr>
            </w:pPr>
            <w:r>
              <w:rPr>
                <w:b/>
              </w:rPr>
              <w:t>Oramed Ltd.</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 </w:t>
            </w:r>
          </w:p>
        </w:tc>
      </w:tr>
      <w:tr>
        <w:trPr/>
        <w:tc>
          <w:tcPr>
            <w:tcW w:w="20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Nadav Kidron, CEO</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left"/>
              <w:rPr/>
            </w:pPr>
            <w:r>
              <w:rPr/>
              <w:t>Avraham Gabay, Executive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1"/>
                    <a:stretch>
                      <a:fillRect/>
                    </a:stretch>
                  </pic:blipFill>
                  <pic:spPr bwMode="auto">
                    <a:xfrm>
                      <a:off x="0" y="0"/>
                      <a:ext cx="7724775" cy="10001250"/>
                    </a:xfrm>
                    <a:prstGeom prst="rect">
                      <a:avLst/>
                    </a:prstGeom>
                  </pic:spPr>
                </pic:pic>
              </a:graphicData>
            </a:graphic>
          </wp:inline>
        </w:drawing>
      </w:r>
    </w:p>
    <w:p>
      <w:pPr>
        <w:pStyle w:val="TextBody"/>
        <w:bidi w:val="0"/>
        <w:jc w:val="left"/>
        <w:rPr>
          <w:color w:val="FFFFFF"/>
          <w:sz w:val="2"/>
        </w:rPr>
      </w:pPr>
      <w:r>
        <w:rPr>
          <w:color w:val="FFFFFF"/>
          <w:sz w:val="2"/>
        </w:rPr>
        <w:t>Exhibit A To the Personal Employment Agreement by and between Oramed Ltd. and Avraham Gabay ʴʩʨʥʸʩʭ ʴʩʶʥʩʩ ʬʧʥʷ 14 ʱʲʩʳ ʩ " ʲʴ ʤʱʫʭ ʹʬ ʡʬʡʣ ʹʥʨʴʩʭ ʺʹʬʥʮʩʭ ʡʣʡʸ ʬʤʬʯ ʤʮʴʥʸʨʩʭ ʤʺʰʠʩʭ ʠʺ ʬʠʮʵ ʮʤ / ʮʱʫʩʭ ʠʰʩ ʫʩ ʡʦʠʺ ʺ / ʮʠʹʸ , ʮ " ʤʧ ʠʰʩ 30.6.98 ʮʩʥʭ 4659 ʴ " ʡʩ ʹʴʥʸʱʮʥ ʫʴʩ , ʴʩʨʥʸʩʭ ʬʷʸʯ ʠʥ / ʥ ʷʩʶʡʤ ʬʮʨʸʺ ( ʮʰʤʬʩʭ ʡʩʨʥʧ ) ʤʡʩʨʥʧ ʬʷʥʴʺ ʤʮʲʡʩʣ :( 1949 ' ʡʲʮ , 4970 ʴ " ʩ – ʠʧʸʥʯ ʺʩʷʥʯ ) 4394 ʮ " ʡʲ ʹʹʩʬʭ ʺʹʬʥʮʩʭ ʫʩ ʮʠʹʸ ʠʰʩ ,( ʤʧʥʷ – ʬʤʬʯ ) 1963 – ʢ " ʤʺʹʫ ʴʩʨʥʸʩʭ ʴʩʶʥʩʩ ʬʧʥʷ 14 ʱʲʩʳ ʬʴʩ ʱʮʫʥʺʩ ʡʺʥʷʳ " ʫʮʹʮʲʥʺʤ ʡʩʨʥʧ ʷʥʴʺ ʹʠʩʰʤ ʬʷʶʡʤ ʢʮʬ ʡʷʥʴʺ ʮʷʩʴʤ ʬʴʰʱʩʤ ʲʥʡʣʥ ʡʲʣ , ʦʤ ʠʩʹʥʸ ʹʬ ʴʸʱʥʮʥ ʡʩʥʭ ʤʧʬ ʮʲʡʩʣ ʮʰʤʬʩʭ ʬʡʩʨʥʧ ʠʥ ,( ʴʰʱʩʤ ʷʸʯ – ʬʤʬʯ ) 1964 – ʣ " ʤʺʹʫ ( ʢʮʬ ʷʥʴʺ ʥʬʰʩʤʥʬ ʬʠʩʹʥʸ ʫʬʬʩʭ ) ʤʫʰʱʤ ʮʱ ʡʺʷʰʥʺ – ʬʤʬʯ ) ʫʠʮʥʸ ʡʩʨʥʧ ʡʷʥʴʺ ʬʷʶʡʤ ʹʠʩʰʤ ʥʬʺʫʰʩʺ ʷʶʡʤ ʬʺʫʰʩʺ ʺʹʬʥʮʩʭ ʹʬ ʹʩʬʥʡ ʠʥ ʬʷʶʡʤ ʠʴʹʸʥʺ ʤʫʥʬʬ ʤʡʩʨʥʧ ʡʷʥʴʺ ʩʹ ʠʭ ʡʩʯ ʡʩʨʥʧ ʥʬʷʥʴʺ ʴʰʱʩʤ ʬʷʸʯ ʺʹʬʥʮʩʭ ʹʬ ʹʩʬʥʡ ʺʥʪ ʹʹʩʬʭ ʺʹʬʥʮʩʭ ʬʸʡʥʺ ,( ʡʩʨʥʧ ʷʥʴʺ ʡʢʩʯ ʤʠʮʥʸ ʬʲʥʡʣ ʤʮʢʩʲʩʭ ʤʴʩʨʥʸʩʭ ʴʩʶʥʩʩ ʡʮʷʥʭ ʩʡʥʠʥ ,( ʤʮʲʡʩʣ ʺʹʬʥʮʩ – ʬʤʬʯ ) ʬʠʥ ʠʭ ʥʡʩʯ ʬʷʶʡʤ ʺʫʰʩʺ : ʠʬʤ ʫʬ ʹʰʺʷʩʩʮʥ ʥʡʬʡʣ ,( ʤʮʥʴʨʸ ʤʹʫʸ – ʬʤʬʯ ) ʹʹʥʬʮʥ ʥʬʺʷʥʴʤ ʤʠʮʥʸʩʭ ʤʺʹʬʥʮʩʭ ʹʥʬʮʥ ʹʮʮʰʥ ʤʹʫʸ - ʤʮʲʡʩʣ ʺʹʬʥʮʩ . 1 ʮʹʬʭ ʠʭ ʤʮʥʴʨʸ ʤʹʫʸ ʮʯ 12 % ʠʥ ʤʮʥʴʨʸ ʤʹʫʸ ʮʯ 14.33 % - ʮ ʴʧʥʺʩʭ ʠʩʰʭ ʴʰʱʩʤ ʬʷʸʯ ( ʠ ) ʡʩʨʥʧ ʬʷʥʴʺ ʠʥ ʬʴʩʶʥʩʩʭ ʢʮʬ ʬʷʥʴʺ ʴʩʨʥʸʩʭ ʴʩʶʥʩʩ ʬʤʹʬʮʺ ʺʹʬʥʮʩʭ ʢʭ ʬʫʪ ʡʰʥʱʳ ʲʥʡʣʥ ʡʲʣ ʤʮʲʡʩʣ , ʫʠʮʥʸ 2.33 % ʢʭ 12 % - ʬ ʡʰʥʱʳ ʤʮʲʡʩʣ ʹʩʬʭ ʬʠ . ʤʮʥʴʨʸ ʤʹʫʸ ʮʯ 2.33 % ʹʬ ʡʹʩʲʥʸ ʤʲʥʡʣ ʹʭ ʲʬ ; ʡʬʡʣ , ʤʲʥʡʣ ʹʬ ʤʴʩʨʥʸʩʭ ʮʴʩʶʥʩʩ 72 % ʡʮʷʥʭ ʺʹʬʥʮʩʥ ʩʡʥʠʥ : ʮʠʬʤ ʮʠʧʣ ʴʧʥʺʩʭ ʠʩʰʭ ʡʩʨʥʧ ʬʷʥʴʺ ( ʡ ) ( 1 ) ʺʹʬʥʮʩʭ ʢʭ ʬʫʪ ʡʰʥʱʳ ʲʥʡʣʥ ʡʲʣ ʤʮʲʡʩʣ ʮʹʬʭ ʠʭ , ʤʮʥʴʨʸ ʤʹʫʸ ʮʯ 13.33 % ʹʥʷ ʲʬ ʤʮʮʥʰʤ ʹʠʩʹʸ ʡʺʫʰʩʺ , ʲʡʥʣʤ ʫʥʹʸ ʠʥʡʣʯ ʡʮʷʸʤ ʧʥʣʹʩʺ ʤʫʰʱʤ ʬʤʡʨʧʺ ʤʮʥʴʨʸ ʤʹʫʸ ʮʯ 75 % ʬʤʡʨʧʺ ʤʣʸʥʹ ʡʹʩʲʥʸ , ʤʠʥʶʸ ʡʮʹʸʣ ʥʧʩʱʫʥʯ ʡʩʨʥʧ ʤʤʥʯ ʺʹʬʥʭ – ʬʤʬʯ ) ʮʡʩʰʩʤʭ ʤʰʮʥʪ ʬʴʩ , ʤʮʥʴʨʸ ʮʤʹʫʸ 2.5 % ʬʴʩ ʡʹʩʲʥʸ ʠʥ ʬʴʧʥʺ ;( ʲʡʥʣʤ ʫʥʹʸ ʠʥʡʣʯ ʬʡʩʨʥʧ , ʲʡʥʣʤ ʫʥʹʸ ʠʥʡʣʯ ʬʡʩʨʥʧ ʺʹʬʥʭ ʢʭ ʡʰʥʱʳ ʤʮʲʡʩʣ ʹʩʬʭ ʠʭ , ʤʮʥʴʨʸ ʤʹʫʸ ʮʯ 11 % ; ʡʬʡʣ , ʤʲʥʡʣ ʹʬ ʤʴʩʨʥʸʩʭ ʮʴʩʶʥʩʩ 72 % ʡʮʷʥʭ ʤʮʲʡʩʣ ʺʹʬʥʮʩ ʩʡʥʠʥ ʦʤ ʥʡʮʷʸʤ ʬʴʩʶʥʩʩʭ ʢʮʬ ʬʷʥʴʺ ʴʩʨʥʸʩʭ ʴʩʶʥʩʩ ʬʤʹʬʮʺ ʺʹʬʥʮʩʭ ʢʭ ʠʬʤ ʲʬ ʰʥʱʳ ʤʮʲʡʩʣ ʹʩʬʭ ʺʹʬʥʮʩ ʩʡʥʠʥ , ʤʮʥʴʨʸ ʤʹʫʸ ʮʯ 2.33 % ʹʬ ʡʹʩʲʥʸ ʤʲʥʡʣ ʹʭ ʲʬ ʡʩʨʥʧ ʬʷʥʴʺ ʠʥ . ʤʲʥʡʣ ʹʬ ʤʴʩʨʥʸʩʭ ʴʩʶʥʩʩ 100 % ʡʮʷʥʭ ʤʮʲʡʩʣ ( 2 ) . 2 – ʥʡʥ ʤʲʥʡʣ ʬʡʩʯ ʤʮʲʡʩʣ ʡʩʯ ʡʫʺʡ ʤʱʫʭ ʰʲʸʪ ʤʮʲʡʩʣ ʺʹʬʥʮʩ ʡʩʶʥʲ ʮʺʧʩʬʺ ʧʥʣʹʩʭ ʮʹʬʥʹʤ ʩʠʥʧʸ ʬʠ ʥʷʥʴʺ ʤʴʰʱʩʤ ʷʸʯ ʥʠʺ ʤʮʲʡʩʣ ʺʹʬʥʮʩ ʠʺ ʤʮʴʸʨ ʡʰʥʱʧ ʦʤ ʠʩʹʥʸ ʬʴʩ ʬʤʱʣʸ ʤʲʥʡʣ ʤʱʫʮʺ ( ʠ ) ʦʫʥʺ ʫʬ ʲʬ ʮʸʠʹ ʤʮʲʡʩʣ ʥʩʺʥʸ ( ʡ ) ; ʦʤ ʠʩʹʥʸ ʹʬ ʰʥʱʧʥ ʢʭ ʩʩʫʬʬ ʤʠʮʥʸ ʡʤʱʫʭ ; ʤʲʰʩʩʯ ʬʴʩ , ʤʡʩʨʥʧ ʣʩʯ ʡʴʱʷ ʴʩʨʥʸʩʭ ʬʴʩʶʥʩʩ ʤʲʥʡʣ ʦʫʥʺ ʰʹʬʬʤ ʫʯ ʠʭ ʠʬʠ , ʺʹʬʥʮʩʥ ʮʺʥʪ ʫʱʴʩʭ ʬʤʧʦʸ ʬʥ ʬʤʩʥʺ ʹʩʫʥʬʤ ʹʬʠ ʤʡʩʨʥʧ ʮʷʥʴʺ ʠʥ ʤʴʰʱʩʤ ʮʷʸʯ ʫʱʴʩʭ ʤʲʥʡʣ ʮʹʪ ʠʥ ʹʰʹʬʬʤ ʥʡʮʩʣʤ ʬʧʥʷ 17 ʠʥ 16 ʱʲʩʴʩʭ ʮʫʥʧ . ʥʩʥʺʸ ʹʩʹʩʭ ʡʢʩʬ ʴʸʩʹʤ ʠʥ ʰʫʥʺ , ʮʥʥʺ – " ʮʦʫʤ ʠʩʸʥʲ " , ʦʤ ʬʲʰʩʩʯ ; ʮʦʫʤ ʠʩʸʥʲ ʡʹʬ .3 ʧʥʦʤ ʠʥ ʤʸʧʡʤ ʶʥ , ʷʩʡʥʶʩ ʤʱʫʭ , ʤʧʥʷ ʬʴʩ ʴʩʨʥʸʩʭ ʬʴʩʶʥʩʩ ʲʥʡʣ ʹʬ ʮʦʫʥʺʥ ʬʢʸʥʲ ʫʣʩ ʦʤ ʡʠʩʹʥʸ ʠʩʯ . ʤʮʥʴʨʸ ʬʹʫʸ ʹʮʲʡʸ ʹʫʸ ʡʢʩʯ , ʲʡʥʣʤ ʤʲʥʡʣ ʤʧʡʸʤ</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 – PROPRIETARY INFORMATION, NON COMPETE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AND PROTECTION OF INTELLECTUAL PROPERTY undertaking (The “Undertaking”)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undertaking is an Exhibit B to the Employment Agreement dated June __, 2024 by and between Avraham Gabay, I.D. Number 066534629, residing in Petakh Tikva,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and Oramed Ltd.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warrants and undertakes that during his/her relationship with the Company and thereafter, he/she shall maintain in complete confidence any matters that relate to the Company (together with its Affiliates shall be defined as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its affairs or business, including regarding the terms and conditions of his/her employment, and that he/she shall not harm its goodwill or reputation, and he/she agrees to the provisions of the confidentiality, non-competition, non-solicitation and intellectual property clauses as specified below.</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avoidance of any doubt, it is hereby clarified that the Executive’s obligations and representations and the Company’s rights under this Undertaking shall apply retroactively as of the commencement of the parties’ engagement, regardless of the date of execution of this Undertaking.</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Executive’s obligations pursuant to this Undertaking derive from his/her status and his/her position in the Company, along with all matters connected therewith, and the terms and conditions of the Executive’s employment pursuant to the Employment Agreement, including his/her compensation and benefits, have been determined in part, inter alia, in consideration of this undertaking and constitute sufficient consideration for his/her obligations hereunder.</w:t>
      </w:r>
    </w:p>
    <w:p>
      <w:pPr>
        <w:pStyle w:val="TextBody"/>
        <w:bidi w:val="0"/>
        <w:spacing w:before="0" w:after="0"/>
        <w:ind w:left="0" w:right="0" w:hanging="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0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1550" w:type="dxa"/>
            <w:tcBorders/>
            <w:vAlign w:val="center"/>
          </w:tcPr>
          <w:p>
            <w:pPr>
              <w:pStyle w:val="TableContents"/>
              <w:bidi w:val="0"/>
              <w:spacing w:before="0" w:after="283"/>
              <w:jc w:val="both"/>
              <w:rPr>
                <w:b/>
                <w:u w:val="single"/>
              </w:rPr>
            </w:pPr>
            <w:r>
              <w:rPr>
                <w:b/>
                <w:u w:val="single"/>
              </w:rPr>
              <w:t>Confidentiality</w:t>
            </w:r>
          </w:p>
        </w:tc>
      </w:tr>
    </w:tbl>
    <w:p>
      <w:pPr>
        <w:pStyle w:val="TextBody"/>
        <w:bidi w:val="0"/>
        <w:spacing w:before="0" w:after="0"/>
        <w:ind w:left="28" w:right="28"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t>The Executive undertakes to maintain the Confidential Information (as defined below) of the Company during the term of his/her engagement with the Company and after the termination of such, for any reason. The Executive acknowledges that the Confidential Information constitutes a proprietary right, which the Company is entitled to protect.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Without derogating from the generality of the foregoing, the Executive hereby agrees that he/she shall not, directly or indirectly, disclose or transfer to any person or entity, at any time, either during or subsequent to his/her engagement with the Company, any trade secrets or other confidential information, whether patentable or not, of the Company, including but not limited to, any (i) processes, formulas, trade secrets, innovations, inventions, discoveries, improvements, research or development and test results, survey, specifications, data and know-how; (ii) marketing plans, business plans, strategies, forecasts, unpublished financial information, budgets, projections, product plans and pricing; (iii) personnel information, including organizational structure, salary, and qualifications of employees; (iv) customer and supplier information, including identities, product sales and purchase history or forecasts and agreements; and (v) any other information which is not known to the public (collectively, “</w:t>
            </w:r>
            <w:r>
              <w:rPr>
                <w:b/>
              </w:rPr>
              <w:t>Confidential Information</w:t>
            </w:r>
            <w:r>
              <w:rPr/>
              <w:t>”), of which the Executive is or becomes informed or aware during his/her engagement period with the Company, whether or not developed by the Executive.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- 15 -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Exceptions. The general prohibition contained in Sections 1.1 and 1.2 against the unauthorized disclosure, use or dissemination of the Confidential Information shall not apply in respect of any Confidential Information that: (i) is available to the public generally in the form disclosed; (ii) becomes part of the public domain through no fault of the Executive; (iii) is already in the lawful possession of the Executive at the time of receipt of the Confidential Information, as can be proven by written documentation; or (iv) is compelled by applicable law to be disclosed, provided that the Executive gives the Company prompt written notice of such requirement prior to such disclosure and provides assistance in obtaining an order protecting the Confidential Information from public disclosure.</w:t>
      </w:r>
    </w:p>
    <w:p>
      <w:pPr>
        <w:pStyle w:val="TextBody"/>
        <w:bidi w:val="0"/>
        <w:spacing w:before="0" w:after="0"/>
        <w:ind w:left="1418"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283"/>
              <w:jc w:val="both"/>
              <w:rPr/>
            </w:pPr>
            <w:r>
              <w:rPr/>
              <w:t>The Executive undertakes not to directly or indirectly give or transfer, directly or indirectly, to any person or entity, any material, raw material, product, part of a product, model, document or other information storage media, or any photocopied, printed or duplicated object containing any or all of the Confidential Information.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1.4</w:t>
            </w:r>
          </w:p>
        </w:tc>
        <w:tc>
          <w:tcPr>
            <w:tcW w:w="9847" w:type="dxa"/>
            <w:tcBorders/>
            <w:vAlign w:val="center"/>
          </w:tcPr>
          <w:p>
            <w:pPr>
              <w:pStyle w:val="TableContents"/>
              <w:bidi w:val="0"/>
              <w:spacing w:before="0" w:after="283"/>
              <w:jc w:val="both"/>
              <w:rPr/>
            </w:pPr>
            <w:r>
              <w:rPr/>
              <w:t>The Executive undertakes, that the Company may receive from third parties confidential or proprietary information (“</w:t>
            </w:r>
            <w:r>
              <w:rPr>
                <w:b/>
              </w:rPr>
              <w:t>Third Party Information</w:t>
            </w:r>
            <w:r>
              <w:rPr/>
              <w:t>”) subject to a duty on the Company’s part to maintain the confidentiality of such information and to use it only for certain limited purposes. During the term of the Executive’s relationship with the Company, and thereafter, the Executive will hold Third Party Information in the strictest confidence and will not disclose to anyone (other than Company personnel who need to know such information in connection with their work for the Company) or use, except solely for the purpose of and in connection with his/her work for the Company, Third Party Information unless expressly authorized by the Company in writing.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7" w:type="dxa"/>
            <w:tcBorders/>
            <w:vAlign w:val="center"/>
          </w:tcPr>
          <w:p>
            <w:pPr>
              <w:pStyle w:val="TableContents"/>
              <w:bidi w:val="0"/>
              <w:spacing w:before="0" w:after="283"/>
              <w:jc w:val="both"/>
              <w:rPr/>
            </w:pPr>
            <w:r>
              <w:rPr/>
              <w:t>During the Executive’s relationship with the Company the Executive shall not improperly use or disclose any confidential information or trade secrets, if any, of any former employer or any other person to whom the Executive has an obligation of confidentiality, and the Executive did not and will not bring onto the premises of the Company any unpublished documents or any property belonging to any former employer or any other person to whom he/she has an obligation of confidentiality unless consented to in writing by that former employer or person.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9847" w:type="dxa"/>
            <w:tcBorders/>
            <w:vAlign w:val="center"/>
          </w:tcPr>
          <w:p>
            <w:pPr>
              <w:pStyle w:val="TableContents"/>
              <w:bidi w:val="0"/>
              <w:spacing w:before="0" w:after="283"/>
              <w:jc w:val="both"/>
              <w:rPr/>
            </w:pPr>
            <w:r>
              <w:rPr/>
              <w:t>In the event the Executive is in breach of any of his/her above obligations, he/she shall be liable to compensate the Company in respect of all damages or expenses incurred by the Company as a result of such breach, including trial costs and legal fees and statutory VAT, without derogating from any other relief or remedy available to the Company by virtue of any law.</w:t>
            </w:r>
          </w:p>
        </w:tc>
      </w:tr>
    </w:tbl>
    <w:p>
      <w:pPr>
        <w:pStyle w:val="TextBody"/>
        <w:bidi w:val="0"/>
        <w:spacing w:before="0" w:after="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20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3560" w:type="dxa"/>
            <w:tcBorders/>
            <w:vAlign w:val="center"/>
          </w:tcPr>
          <w:p>
            <w:pPr>
              <w:pStyle w:val="TableContents"/>
              <w:bidi w:val="0"/>
              <w:spacing w:before="0" w:after="283"/>
              <w:jc w:val="both"/>
              <w:rPr>
                <w:b/>
                <w:u w:val="single"/>
              </w:rPr>
            </w:pPr>
            <w:r>
              <w:rPr>
                <w:b/>
                <w:u w:val="single"/>
              </w:rPr>
              <w:t>Non-Competition/ Non-Solicitation</w:t>
            </w:r>
          </w:p>
        </w:tc>
      </w:tr>
    </w:tbl>
    <w:p>
      <w:pPr>
        <w:pStyle w:val="TextBody"/>
        <w:bidi w:val="0"/>
        <w:spacing w:before="0" w:after="0"/>
        <w:ind w:left="720" w:right="72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undertakes that during the period of his/her engagement with the Company and for a period of (12) months following termination of his/her engagement with the Company, for any reason:</w:t>
      </w:r>
    </w:p>
    <w:p>
      <w:pPr>
        <w:pStyle w:val="TextBody"/>
        <w:bidi w:val="0"/>
        <w:spacing w:before="0" w:after="0"/>
        <w:ind w:left="1418" w:right="7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He shall not, anywhere in the world, do business, as an employee, independent contractor, consultant or otherwise, and shall not directly or indirectly participate in or accept any position, proposal or job offer that may directly or indirectly compete with or harm the Company, or in the field in which the Company engages, is engaged or the Company contemplates in good faith to be materially engaged in within six (6) months thereafter, provided that the Company has taken demonstrable actions to promote such engagement or that the Company’s Board of Directors has adopted a resolution authorizing such actions prior to the date of termination(the “</w:t>
            </w:r>
            <w:r>
              <w:rPr>
                <w:b/>
              </w:rPr>
              <w:t>Competitive Occupation</w:t>
            </w:r>
            <w:r>
              <w:rPr/>
              <w:t>”); provided, however, that Executive may own securities of any corporation which is engaged in such business and is publicly owned and traded but in an amount not to exceed at any one time one percent (1%) of any class of stock or securities of such company, so long as he has no active role in the publicly owned and traded company as director, employee, consultant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- 16 -</w:t>
      </w:r>
    </w:p>
    <w:p>
      <w:pPr>
        <w:pStyle w:val="TextBody"/>
        <w:bidi w:val="0"/>
        <w:spacing w:before="0" w:after="0"/>
        <w:ind w:left="0" w:right="0" w:hanging="0"/>
        <w:jc w:val="left"/>
        <w:rPr/>
      </w:pPr>
      <w:r>
        <w:rPr/>
        <w:t> </w:t>
      </w:r>
    </w:p>
    <w:p>
      <w:pPr>
        <w:pStyle w:val="TextBody"/>
        <w:bidi w:val="0"/>
        <w:spacing w:before="0" w:after="0"/>
        <w:ind w:left="720" w:right="720" w:hanging="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7" w:type="dxa"/>
            <w:tcBorders/>
            <w:vAlign w:val="center"/>
          </w:tcPr>
          <w:p>
            <w:pPr>
              <w:pStyle w:val="TableContents"/>
              <w:bidi w:val="0"/>
              <w:spacing w:before="0" w:after="283"/>
              <w:jc w:val="both"/>
              <w:rPr/>
            </w:pPr>
            <w:r>
              <w:rPr/>
              <w:t>Without derogating from the generality of the foregoing, the Executive undertakes not to maintain any business relations of any type whatsoever, including a proposal to conduct business relations, directly or indirectly, with any of the Company’s customers, suppliers or agents, including customers, suppliers or agents with whom the Company conducted negotiations towards an agreement at the time of the termination of his/her employment with the Company or prior thereto.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7" w:type="dxa"/>
            <w:tcBorders/>
            <w:vAlign w:val="center"/>
          </w:tcPr>
          <w:p>
            <w:pPr>
              <w:pStyle w:val="TableContents"/>
              <w:bidi w:val="0"/>
              <w:spacing w:before="0" w:after="283"/>
              <w:jc w:val="both"/>
              <w:rPr/>
            </w:pPr>
            <w:r>
              <w:rPr/>
              <w:t>In addition, the Executive undertakes not to approach, solicit or recruit any employee of the Company or any consultant, service provider, agent, distributor, customer or supplier of the Company, to terminate, reduce or modify the scope of such person’s engagement with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7" w:type="dxa"/>
            <w:tcBorders/>
            <w:vAlign w:val="center"/>
          </w:tcPr>
          <w:p>
            <w:pPr>
              <w:pStyle w:val="TableContents"/>
              <w:bidi w:val="0"/>
              <w:spacing w:before="0" w:after="283"/>
              <w:jc w:val="both"/>
              <w:rPr/>
            </w:pPr>
            <w:r>
              <w:rPr/>
              <w:t>The foregoing shall apply irrespective of whether the Competitive Occupation is carried out by the Executive alone or in cooperation with others and shall apply to the participation of the Executive in a Competitive Occupation, whether as a controlling shareholder or as an interested party.</w:t>
            </w:r>
          </w:p>
        </w:tc>
      </w:tr>
    </w:tbl>
    <w:p>
      <w:pPr>
        <w:pStyle w:val="TextBody"/>
        <w:bidi w:val="0"/>
        <w:spacing w:before="0" w:after="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38"/>
        <w:gridCol w:w="140"/>
        <w:gridCol w:w="45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4565" w:type="dxa"/>
            <w:tcBorders/>
            <w:vAlign w:val="center"/>
          </w:tcPr>
          <w:p>
            <w:pPr>
              <w:pStyle w:val="TableContents"/>
              <w:bidi w:val="0"/>
              <w:spacing w:before="0" w:after="283"/>
              <w:jc w:val="both"/>
              <w:rPr>
                <w:b/>
                <w:u w:val="single"/>
              </w:rPr>
            </w:pPr>
            <w:r>
              <w:rPr>
                <w:b/>
                <w:u w:val="single"/>
              </w:rPr>
              <w:t>Intellectual Property, Copyright and Patents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7" w:type="dxa"/>
            <w:tcBorders/>
            <w:vAlign w:val="center"/>
          </w:tcPr>
          <w:p>
            <w:pPr>
              <w:pStyle w:val="TableContents"/>
              <w:bidi w:val="0"/>
              <w:spacing w:before="0" w:after="283"/>
              <w:jc w:val="both"/>
              <w:rPr/>
            </w:pPr>
            <w:r>
              <w:rPr/>
              <w:t>The Executive hereby acknowledges and agrees that the Company exclusively owns and shall own all right, title and interest in and to any work, products, processes, materials, inventions, texts, algorithms, designs, sketches, ideas or discoveries, all derivatives, enhancements or improvements thereof and any and all Intellectual Property Rights associated therewith, created, conceived made or discovered by the Executive (whether solely or jointly with others) during the term of employment; or in connection therewith; or in connection with the Company, its business (actual or contemplated), products, technology or know how (“</w:t>
            </w:r>
            <w:r>
              <w:rPr>
                <w:b/>
              </w:rPr>
              <w:t>Company IPR</w:t>
            </w:r>
            <w:r>
              <w:rPr/>
              <w:t>”). “</w:t>
            </w:r>
            <w:r>
              <w:rPr>
                <w:b/>
              </w:rPr>
              <w:t xml:space="preserve">Intellectual Property Rights” </w:t>
            </w:r>
            <w:r>
              <w:rPr/>
              <w:t>means all worldwide (a) patents, patent applications, designs and patent rights; (b) rights associated with works of authorship, including, but not limited to, copyrights, copyrights applications, copyrights restrictions, mask work rights, mask work applications and mask work registrations; (c) rights relating to the protection of trade secrets and confidential information; (d) moral rights, trademarks, service marks, logos, domain names, trade dress and goodwill; (e) rights analogous to those set forth herein and any other proprietary rights relating to intangible property including ideas; and (f) divisions, continuations, renewals, reissues and extensions of the foregoing (as applicable) now existing or hereafter filed, issued, or acquired.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7" w:type="dxa"/>
            <w:tcBorders/>
            <w:vAlign w:val="center"/>
          </w:tcPr>
          <w:p>
            <w:pPr>
              <w:pStyle w:val="TableContents"/>
              <w:bidi w:val="0"/>
              <w:spacing w:before="0" w:after="283"/>
              <w:jc w:val="both"/>
              <w:rPr/>
            </w:pPr>
            <w:r>
              <w:rPr/>
              <w:t>The Executive acknowledges and agrees that all Company IPR and all modifications, derivatives and enhancements thereof belong to, and shall be the sole property of, the Company (or its designees) upon creation thereof. The Executive hereby irrevocably assigns to the Company or its designee and shall assign all right, title and interest the Executive may have or may acquire in and to Company IPR upon its creation. The Executive acknowledges and agrees that no rights relating to any Company IPR are reserved to Executive.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- 17 -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Executive will assist the Company, upon Company’s first request, to obtain, and from time to time enforce, any Company IPR worldwide, including without limitation, executing, verifying and delivering such documents and performing such other acts as the Company may reasonably request for use in applying for, obtaining, perfecting, evidencing, sustaining and enforcing such Company IPR. Such obligation shall remain in effect beyond the termination of the Executive’s relationship with the Company, all for no additional consideration, provided that Executive shall not be required to bear any expenses as a result of such assignment. In the event the Company is unable for any reason, after reasonable effort, to secure Executive’s signature on any document required, Executive hereby irrevocably designates and appoints the Company and its duly authorized officers and agents as its agent and attorney in fact to act for and on its behalf to further the above purposes. </w:t>
      </w:r>
    </w:p>
    <w:p>
      <w:pPr>
        <w:pStyle w:val="TextBody"/>
        <w:bidi w:val="0"/>
        <w:spacing w:before="0" w:after="0"/>
        <w:ind w:left="1418" w:right="72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7" w:type="dxa"/>
            <w:tcBorders/>
            <w:vAlign w:val="center"/>
          </w:tcPr>
          <w:p>
            <w:pPr>
              <w:pStyle w:val="TableContents"/>
              <w:bidi w:val="0"/>
              <w:spacing w:before="0" w:after="283"/>
              <w:jc w:val="both"/>
              <w:rPr/>
            </w:pPr>
            <w:r>
              <w:rPr/>
              <w:t>The Executive irrevocably confirms that the consideration explicitly set forth in the employment agreement between the Executive and the Company is inclusive of any and all rights for compensation that may arise in connection with the Company IPR under applicable law and the Executive irrevocably waives any legal right he/she may have in connection with the Company IPR, including without limitation any right, moral rights or right to claim royalties or any other additional consideration from the Company with regard to the assigned Company IPR, including without limitation, in respect of Section 134 of the Patent Law 5727-1967 or other applicable laws. The foregoing waiver relates to any claims or demands whatsoever, whether in the present, past or future, and whether under contract or other legal or equitable theory.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7" w:type="dxa"/>
            <w:tcBorders/>
            <w:vAlign w:val="center"/>
          </w:tcPr>
          <w:p>
            <w:pPr>
              <w:pStyle w:val="TableContents"/>
              <w:bidi w:val="0"/>
              <w:spacing w:before="0" w:after="283"/>
              <w:jc w:val="both"/>
              <w:rPr/>
            </w:pPr>
            <w:r>
              <w:rPr/>
              <w:t>The Executive represents and warrants that upon execution hereof, he/she has not created and does not have any right, title or interest in and to any Intellectual Property Rights related, similar to and/or required for Company’s business, products or Intellectual Property Rights (“</w:t>
            </w:r>
            <w:r>
              <w:rPr>
                <w:b/>
              </w:rPr>
              <w:t>Prior Inventions</w:t>
            </w:r>
            <w:r>
              <w:rPr/>
              <w:t>”). The Executive undertakes not to incorporate any Prior Inventions or third party’s Intellectual Property Rights (including of a former employer) in any Company IPR.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7" w:type="dxa"/>
            <w:tcBorders/>
            <w:vAlign w:val="center"/>
          </w:tcPr>
          <w:p>
            <w:pPr>
              <w:pStyle w:val="TableContents"/>
              <w:bidi w:val="0"/>
              <w:spacing w:before="0" w:after="283"/>
              <w:jc w:val="both"/>
              <w:rPr/>
            </w:pPr>
            <w:r>
              <w:rPr/>
              <w:t>The Executive undertakes to immediately inform and deliver IN WRITING to the Company, written notice of any Company IPR conceived or invented by him or personnel of the Company or its successors who are subordinate to him, immediately upon the discovery thereof.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3.6</w:t>
            </w:r>
          </w:p>
        </w:tc>
        <w:tc>
          <w:tcPr>
            <w:tcW w:w="9847" w:type="dxa"/>
            <w:tcBorders/>
            <w:vAlign w:val="center"/>
          </w:tcPr>
          <w:p>
            <w:pPr>
              <w:pStyle w:val="TableContents"/>
              <w:bidi w:val="0"/>
              <w:spacing w:before="0" w:after="283"/>
              <w:jc w:val="both"/>
              <w:rPr/>
            </w:pPr>
            <w:r>
              <w:rPr/>
              <w:t>The Executive’s obligations pursuant to this Section 3 shall survive the termination of his/her employment with the Company or its successors and assigns with respect to inventions conceived by him during the term of his/her employment or as a result of his/her employment with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4.</w:t>
            </w:r>
          </w:p>
        </w:tc>
        <w:tc>
          <w:tcPr>
            <w:tcW w:w="10045" w:type="dxa"/>
            <w:tcBorders/>
            <w:vAlign w:val="center"/>
          </w:tcPr>
          <w:p>
            <w:pPr>
              <w:pStyle w:val="TableContents"/>
              <w:bidi w:val="0"/>
              <w:spacing w:before="0" w:after="283"/>
              <w:jc w:val="both"/>
              <w:rPr/>
            </w:pPr>
            <w:r>
              <w:rPr/>
              <w:t>The Executive acknowledges that the restricted period of time and geographical are as specified hereunder are reasonable, in view of his/her position and the nature of the business in which the Company is engaged, the Executive’s knowledge of the Company’s business and the compensation he/she receives. Notwithstanding anything contained herein to the contrary, if the period of time or the geographical area specified herein should be determined to be unreasonable in any judicial proceeding, then the period of time and area of the restriction shall be reduced so that this Undertaking may be enforced in such area and during such period of time as shall be determined to be reasonable by such judicial proceeding. The Executive acknowledges that the compensation and benefits granted to him by the Company under the Employment were determined, inter alia, in consideration for his/her obligations under this Undertaking.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720" w:hanging="1"/>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- 18 -</w:t>
      </w:r>
    </w:p>
    <w:p>
      <w:pPr>
        <w:pStyle w:val="TextBody"/>
        <w:bidi w:val="0"/>
        <w:spacing w:before="0" w:after="0"/>
        <w:ind w:left="0" w:right="0" w:hanging="0"/>
        <w:jc w:val="left"/>
        <w:rPr/>
      </w:pPr>
      <w:r>
        <w:rPr/>
        <w:t> </w:t>
      </w:r>
    </w:p>
    <w:p>
      <w:pPr>
        <w:pStyle w:val="TextBody"/>
        <w:bidi w:val="0"/>
        <w:spacing w:before="0" w:after="0"/>
        <w:ind w:left="720" w:right="720" w:hanging="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5.</w:t>
            </w:r>
          </w:p>
        </w:tc>
        <w:tc>
          <w:tcPr>
            <w:tcW w:w="10039" w:type="dxa"/>
            <w:tcBorders/>
            <w:vAlign w:val="center"/>
          </w:tcPr>
          <w:p>
            <w:pPr>
              <w:pStyle w:val="TableContents"/>
              <w:bidi w:val="0"/>
              <w:spacing w:before="0" w:after="283"/>
              <w:jc w:val="both"/>
              <w:rPr/>
            </w:pPr>
            <w:r>
              <w:rPr/>
              <w:t>This Undertaking, the rights of the Company hereunder, and the obligations of Employee hereunder, will be binding upon and inure to the benefit of their respective successors, assigns, heirs, executors, administrators and legal representatives. The Company may assign any of its rights under this Undertaking. Employee may not assign, whether voluntarily or by operation of law, any of its obligations under this Undertaking, except with the prior written consent of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6.</w:t>
            </w:r>
          </w:p>
        </w:tc>
        <w:tc>
          <w:tcPr>
            <w:tcW w:w="10035" w:type="dxa"/>
            <w:tcBorders/>
            <w:vAlign w:val="center"/>
          </w:tcPr>
          <w:p>
            <w:pPr>
              <w:pStyle w:val="TableContents"/>
              <w:bidi w:val="0"/>
              <w:spacing w:before="0" w:after="283"/>
              <w:jc w:val="both"/>
              <w:rPr/>
            </w:pPr>
            <w:r>
              <w:rPr/>
              <w:t>This Undertaking and all rights and duties of the parties hereunder shall be exclusively governed by and interpreted in accordance with the laws of the State of Israel. The competent courts of the State of Israel, Tel Aviv Jaffa district, shall have the exclusive jurisdiction over the parties with regard to this Undertaking, its execution, interpretation and performance.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283"/>
              <w:jc w:val="left"/>
              <w:rPr/>
            </w:pPr>
            <w:r>
              <w:rPr/>
              <w:t>7.</w:t>
            </w:r>
          </w:p>
        </w:tc>
        <w:tc>
          <w:tcPr>
            <w:tcW w:w="10007" w:type="dxa"/>
            <w:tcBorders/>
            <w:vAlign w:val="center"/>
          </w:tcPr>
          <w:p>
            <w:pPr>
              <w:pStyle w:val="TableContents"/>
              <w:bidi w:val="0"/>
              <w:spacing w:before="0" w:after="283"/>
              <w:jc w:val="both"/>
              <w:rPr/>
            </w:pPr>
            <w:r>
              <w:rPr/>
              <w:t>Capitalized terms used herein and not otherwise defined shall have the respective meanings ascribed to them in the Employment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8.</w:t>
            </w:r>
          </w:p>
        </w:tc>
        <w:tc>
          <w:tcPr>
            <w:tcW w:w="10021" w:type="dxa"/>
            <w:tcBorders/>
            <w:vAlign w:val="center"/>
          </w:tcPr>
          <w:p>
            <w:pPr>
              <w:pStyle w:val="TableContents"/>
              <w:bidi w:val="0"/>
              <w:spacing w:before="0" w:after="283"/>
              <w:jc w:val="both"/>
              <w:rPr/>
            </w:pPr>
            <w:r>
              <w:rPr/>
              <w:t>This Undertaking is the entire agreement between the parties with respect to the subject matter hereof, and supersedes all prior understandings, agreements and discussions between them, oral or written.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AVRAHAM GABAY, HAVE READ THIS UNDERTAKING CAREFULLY AND UNDERSTAND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28" w:type="dxa"/>
          <w:right w:w="0" w:type="dxa"/>
        </w:tblCellMar>
      </w:tblPr>
      <w:tblGrid>
        <w:gridCol w:w="75"/>
        <w:gridCol w:w="60"/>
        <w:gridCol w:w="530"/>
        <w:gridCol w:w="75"/>
      </w:tblGrid>
      <w:tr>
        <w:trPr/>
        <w:tc>
          <w:tcPr>
            <w:tcW w:w="7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left"/>
              <w:rPr/>
            </w:pPr>
            <w:r>
              <w:rPr/>
              <w:t>Date:</w:t>
            </w:r>
          </w:p>
        </w:tc>
        <w:tc>
          <w:tcPr>
            <w:tcW w:w="75" w:type="dxa"/>
            <w:tcBorders>
              <w:bottom w:val="single" w:sz="12"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98" w:right="98" w:firstLine="72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computer systems, internet browsing and company email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val="false"/>
          <w:smallCaps w:val="false"/>
          <w:sz w:val="20"/>
        </w:rPr>
        <w:t>It is strictly forbidden to make use of company</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computers, internet browsing or company email for any purposes which are illegal, inappropriate or unsuitable, including accessing inappropriate or unsuitable websites (such as pornographic websites). it is additionally forbidden to install any programs on company computer systems, or make use of any such system to transfer materials unrelated to work or detrimental to the company, its clients, employees, or any other third party. misuse of company computers, internet browsing or company emails may cause considerable harm to the company or other third parties, as well as the computer systems themselves and their users. if in doubt, please refer to the company it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val="false"/>
          <w:smallCaps w:val="false"/>
          <w:sz w:val="20"/>
        </w:rPr>
        <w:t>We would like to clarify that the company does not forbid private use of the computer made available to you for work purpose or the office internet connection, within reasonable bounds, and while always maintaining confidentiality (as set forth in your employment agreement), without derogating from work requirements and subject to section 1 above. nonetheless, it is important to clarify that due to the nature of the company computer systems, network operational maintenance requirements, as well as for the implementation of this section 2, the company may block certain websites from access, and the company it manager may access any computer on the company network, and accordingly, any information found on your computer may be exposed to the company it manager and his/her /her superiors.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3. </w:t>
      </w:r>
      <w:r>
        <w:rPr>
          <w:rFonts w:ascii="Times New Roman;Times;Serif" w:hAnsi="Times New Roman;Times;Serif"/>
          <w:b w:val="false"/>
          <w:i w:val="false"/>
          <w:caps w:val="false"/>
          <w:smallCaps w:val="false"/>
          <w:sz w:val="20"/>
        </w:rPr>
        <w:t>The company provides you with an email account exclusively for professional use as required within the scope of your position in the company. therefore, the company shall be entitled to monitor and conduct surveillance of the communicated data in any such professional mailbox. you are aware, and hereby consent that the company shall be permitted to access the contents of such mailbox, should an urgent professional need arise or in case there is grave concern or reasonable grounds for concern regarding activity which is illegal or harmful to the company or any third party (including violation of the terms above), or in any other case in accordance with the law. such monitoring shall be conducted proportionally, in adherence to the goals as stated above, and the information, if aggregated, shall be stored solely for the period of time required for the purposes as stated above. the monitored information, if and any as such, shall not be transferred to any third party, excluding the security and support service provider of the company’s computer systems, any security and support service provider3 which shall replace it in the future, or in accordance with the law, subject to the aforementioned. accordingly, any information found in the professional electronic mailbox may be accessible to the company, and as such it should be taken into account that any private use of the professional mailbox should be avoided. at the expiration of your position with the company, any private correspondence saved in the professional mailbox must be removed (if any such correspondence exists despite the above) and any information found in the professional mailbox (which should contain solely professional correspondence) shall be exposed to the relevant parties in the company. if you wish to do so, you may make private use of electronic mail correspondence using a private and external mail service (such as gmail), with which you may send and receive private correspondence which will not be exposed to the company, and so long as such use is made reasonably and in adherence to the company policy as stated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9693" w:type="dxa"/>
        <w:jc w:val="left"/>
        <w:tblInd w:w="0" w:type="dxa"/>
        <w:tblLayout w:type="fixed"/>
        <w:tblCellMar>
          <w:top w:w="0" w:type="dxa"/>
          <w:left w:w="0" w:type="dxa"/>
          <w:bottom w:w="0" w:type="dxa"/>
          <w:right w:w="0" w:type="dxa"/>
        </w:tblCellMar>
      </w:tblPr>
      <w:tblGrid>
        <w:gridCol w:w="38"/>
        <w:gridCol w:w="125"/>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9530" w:type="dxa"/>
            <w:tcBorders/>
            <w:vAlign w:val="center"/>
          </w:tcPr>
          <w:p>
            <w:pPr>
              <w:pStyle w:val="TableContents"/>
              <w:bidi w:val="0"/>
              <w:spacing w:before="0" w:after="283"/>
              <w:jc w:val="both"/>
              <w:rPr/>
            </w:pPr>
            <w:r>
              <w:rPr/>
              <w:t>All terms not defined herein shall have the meaning ascribed to them in the Employment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- 20 -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4. </w:t>
      </w:r>
      <w:r>
        <w:rPr>
          <w:rFonts w:ascii="Times New Roman;Times;Serif" w:hAnsi="Times New Roman;Times;Serif"/>
          <w:b w:val="false"/>
          <w:i w:val="false"/>
          <w:caps w:val="false"/>
          <w:smallCaps w:val="false"/>
          <w:sz w:val="20"/>
        </w:rPr>
        <w:t>It is also clarified that the company may allow other employees and other third parties and use the personal laptop / laptop that is given to you for your work. since the computer, e-mail, corporate network and internet connection are provided for professional purposes only, the company has the right to disconnect you from such systems at its sole discretion at any time. without prejudice to the foregoing, it is prohibited to leave these tools and / or to give access to any of these tools without supervision and / or contrary to the company’s policy. in any case where there is a concern that another party, other than you, has access to these tools (for example, in the event of password disclosure, theft and / or loss), contact the computer administrator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val="false"/>
          <w:i w:val="false"/>
          <w:caps w:val="false"/>
          <w:smallCaps w:val="false"/>
          <w:sz w:val="20"/>
        </w:rPr>
        <w:t>In addition, you are to avoid using the internet in general and social networks in particular in a manner that is likely to create the impression that your private use of the social networks is on behalf of the company and/or in its name. thus, for example, it is forbidden to upload pictures or other information connected to the company or the company’s events or the company’s employees, or make use of the company’s name or any insignia in a manner that indicates that your publication is an official publication of the company, as opposed to your private publication, upon your own authority. in any event of doubt, you may contact the it manager with any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6. </w:t>
      </w:r>
      <w:r>
        <w:rPr>
          <w:rFonts w:ascii="Times New Roman;Times;Serif" w:hAnsi="Times New Roman;Times;Serif"/>
          <w:b w:val="false"/>
          <w:i w:val="false"/>
          <w:caps w:val="false"/>
          <w:smallCaps w:val="false"/>
          <w:sz w:val="20"/>
        </w:rPr>
        <w:t>For the avoidance of any doubt, the it manager, anyone acting on his/her behalf, and any other person who has access to the e-mail, computer and the various folders, are to refrain from any use at all of the information therein, including its publication or any other personal use, beyond the purposes delineated in this policy, and to keep this information in strictest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7. </w:t>
      </w:r>
      <w:r>
        <w:rPr>
          <w:rFonts w:ascii="Times New Roman;Times;Serif" w:hAnsi="Times New Roman;Times;Serif"/>
          <w:b w:val="false"/>
          <w:i w:val="false"/>
          <w:caps w:val="false"/>
          <w:smallCaps w:val="false"/>
          <w:sz w:val="20"/>
        </w:rPr>
        <w:t>It is preferable, that during your absence from work, for whatever reason, you leave an orderly “out of office” email message with the date of your return and a referral to whomever is substituting for you during the period of your absence.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8. </w:t>
      </w:r>
      <w:r>
        <w:rPr>
          <w:rFonts w:ascii="Times New Roman;Times;Serif" w:hAnsi="Times New Roman;Times;Serif"/>
          <w:b w:val="false"/>
          <w:i w:val="false"/>
          <w:caps w:val="false"/>
          <w:smallCaps w:val="false"/>
          <w:sz w:val="20"/>
        </w:rPr>
        <w:t>You undertake that, at the termination of your employment, you transfer the content of the computer and your email account, as is, to the it manager. if you wish to delete personal and private files or to remove them from the computer – this shall be done only with the approval of and in coordination with the it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9. </w:t>
      </w:r>
      <w:r>
        <w:rPr>
          <w:rFonts w:ascii="Times New Roman;Times;Serif" w:hAnsi="Times New Roman;Times;Serif"/>
          <w:b w:val="false"/>
          <w:i w:val="false"/>
          <w:caps w:val="false"/>
          <w:smallCaps w:val="false"/>
          <w:sz w:val="20"/>
        </w:rPr>
        <w:t>After termination of your employment, the company, by means of the direct supervisor and it manager, shall be entitled to access your computer, email account and folders.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10. </w:t>
      </w:r>
      <w:r>
        <w:rPr>
          <w:rFonts w:ascii="Times New Roman;Times;Serif" w:hAnsi="Times New Roman;Times;Serif"/>
          <w:b w:val="false"/>
          <w:i w:val="false"/>
          <w:caps w:val="false"/>
          <w:smallCaps w:val="false"/>
          <w:sz w:val="20"/>
        </w:rPr>
        <w:t>You are required to keep current regarding the company’s policy of computer use as will be updated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read and declare I read this annex A, understood its provisions and agree thereto.</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670"/>
        <w:gridCol w:w="60"/>
        <w:gridCol w:w="60"/>
        <w:gridCol w:w="530"/>
        <w:gridCol w:w="75"/>
      </w:tblGrid>
      <w:tr>
        <w:trPr/>
        <w:tc>
          <w:tcPr>
            <w:tcW w:w="1670" w:type="dxa"/>
            <w:tcBorders/>
            <w:vAlign w:val="center"/>
          </w:tcPr>
          <w:p>
            <w:pPr>
              <w:pStyle w:val="TableContents"/>
              <w:bidi w:val="0"/>
              <w:spacing w:before="0" w:after="283"/>
              <w:jc w:val="left"/>
              <w:rPr/>
            </w:pPr>
            <w:r>
              <w:rPr/>
              <w:t>Avraham Gabay: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75" w:type="dxa"/>
            <w:tcBorders>
              <w:bottom w:val="single" w:sz="12"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5" w:name="ea028261801ex10-51.htm"/>
      <w:bookmarkStart w:id="66" w:name="ksea028261801ex1051"/>
      <w:bookmarkEnd w:id="65"/>
      <w:bookmarkEnd w:id="66"/>
      <w:r>
        <w:rPr>
          <w:rFonts w:ascii="Times New Roman;Times;Serif" w:hAnsi="Times New Roman;Times;Serif"/>
          <w:b/>
          <w:i w:val="false"/>
          <w:caps w:val="false"/>
          <w:smallCaps w:val="false"/>
          <w:sz w:val="20"/>
        </w:rPr>
        <w:t>Exhibit 10.51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to Employment Agreement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xml:space="preserve">”) is entered into as of this 31 day of December 2025 and is effective as of January 1, 2026, by and between </w:t>
      </w:r>
      <w:r>
        <w:rPr>
          <w:rFonts w:ascii="Times New Roman;Times;Serif" w:hAnsi="Times New Roman;Times;Serif"/>
          <w:b/>
          <w:i w:val="false"/>
          <w:caps w:val="false"/>
          <w:smallCaps w:val="false"/>
          <w:sz w:val="20"/>
        </w:rPr>
        <w:t>Avi Gabay</w:t>
      </w:r>
      <w:r>
        <w:rPr>
          <w:rFonts w:ascii="Times New Roman;Times;Serif" w:hAnsi="Times New Roman;Times;Serif"/>
          <w:b w:val="false"/>
          <w:i w:val="false"/>
          <w:caps w:val="false"/>
          <w:smallCaps w:val="false"/>
          <w:sz w:val="20"/>
        </w:rPr>
        <w:t>, an individual residing in Petach Tikva, Israel (the “</w:t>
      </w:r>
      <w:r>
        <w:rPr>
          <w:rFonts w:ascii="Times New Roman;Times;Serif" w:hAnsi="Times New Roman;Times;Serif"/>
          <w:b/>
          <w:i w:val="false"/>
          <w:caps w:val="false"/>
          <w:smallCaps w:val="false"/>
          <w:sz w:val="20"/>
        </w:rPr>
        <w:t>Executive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Oramed Ltd., </w:t>
      </w:r>
      <w:r>
        <w:rPr>
          <w:rFonts w:ascii="Times New Roman;Times;Serif" w:hAnsi="Times New Roman;Times;Serif"/>
          <w:b w:val="false"/>
          <w:i w:val="false"/>
          <w:caps w:val="false"/>
          <w:smallCaps w:val="false"/>
          <w:sz w:val="20"/>
        </w:rPr>
        <w:t>a company incorporated under the laws of the State of Israel, with an address at Mamilla 20, Jerusalem, Israel 9414904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Company and the Executive entered into an employment agreement, dated as of June 6, 2024 (the “</w:t>
      </w:r>
      <w:r>
        <w:rPr>
          <w:rFonts w:ascii="Times New Roman;Times;Serif" w:hAnsi="Times New Roman;Times;Serif"/>
          <w:b/>
          <w:i w:val="false"/>
          <w:caps w:val="false"/>
          <w:smallCaps w:val="false"/>
          <w:sz w:val="20"/>
        </w:rPr>
        <w:t>Employment Agreement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Company and the Executive desire to amend the terms and conditions of the Employment Agreement to increase the Executive’s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Company and the Executive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In Section 2.1(a) of the Employment Agreement – </w:t>
      </w:r>
      <w:r>
        <w:rPr>
          <w:rFonts w:ascii="Times New Roman;Times;Serif" w:hAnsi="Times New Roman;Times;Serif"/>
          <w:b w:val="false"/>
          <w:i w:val="false"/>
          <w:caps w:val="false"/>
          <w:smallCaps w:val="false"/>
          <w:sz w:val="20"/>
          <w:u w:val="single"/>
        </w:rPr>
        <w:t>Salary,</w:t>
      </w:r>
      <w:r>
        <w:rPr>
          <w:rFonts w:ascii="Times New Roman;Times;Serif" w:hAnsi="Times New Roman;Times;Serif"/>
          <w:b w:val="false"/>
          <w:i w:val="false"/>
          <w:caps w:val="false"/>
          <w:smallCaps w:val="false"/>
          <w:sz w:val="20"/>
        </w:rPr>
        <w:t xml:space="preserve"> the following paragraph is hereby added: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1, 2026, the Executive shall be entitled to a gross monthly salary of NIS 44,880 (the “</w:t>
      </w:r>
      <w:r>
        <w:rPr>
          <w:rFonts w:ascii="Times New Roman;Times;Serif" w:hAnsi="Times New Roman;Times;Serif"/>
          <w:b/>
          <w:i w:val="false"/>
          <w:caps w:val="false"/>
          <w:smallCaps w:val="false"/>
          <w:sz w:val="20"/>
        </w:rPr>
        <w:t>Salary</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for the changes and/or additions stated herein, all the other terms of the Employment Agreement shall remain valid and bind the parties without any change. In the case of a contradiction between the provisions of this Amendment and the provisions of the Employment Agreement, the provisions of this Amendment shall prevail. Without limiting the generality of the foregoing, the term “Agreement” as used in the Employment Agreement shall be deemed to be the Employment Agreement as amended by this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Amendment to Employment Agreement as of December 31, 2025.</w:t>
      </w:r>
    </w:p>
    <w:p>
      <w:pPr>
        <w:pStyle w:val="TextBody"/>
        <w:bidi w:val="0"/>
        <w:spacing w:before="0" w:after="0"/>
        <w:ind w:left="0" w:right="0" w:firstLine="72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75"/>
        <w:gridCol w:w="16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Nadav Kidron, CEO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Gabay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7" w:name="ea028261801ex21-1.htm"/>
      <w:bookmarkStart w:id="68" w:name="ksea028261801ex211"/>
      <w:bookmarkEnd w:id="67"/>
      <w:bookmarkEnd w:id="68"/>
      <w:r>
        <w:rPr>
          <w:rFonts w:ascii="Times New Roman;Times;Serif" w:hAnsi="Times New Roman;Times;Serif"/>
          <w:b/>
          <w:i w:val="false"/>
          <w:caps w:val="false"/>
          <w:smallCaps w:val="false"/>
          <w:sz w:val="20"/>
        </w:rPr>
        <w:t>Exhibit 21.1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Ltd. – Incorporated in the State of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OraTech Pharmaceuticals, Inc. – Incorporated in State of Nevada (100% owned by Oramed Pharmaceuticals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Oravax Medical Inc. – Incorporated in the State of Delaware (63% owned by Oramed Pharmaceuticals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RoyaltyVest, LTD. - Incorporated in the British Virgin Islands (50% owned by Oramed Pharmaceuticals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Oratech pharmaceuticals ltd - Incorporated Israel (100% owned by Oramed Pharmaceuticals Inc.)</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 w:name="ea028261801ex23-1.htm"/>
      <w:bookmarkStart w:id="70" w:name="ksea028261801ex231"/>
      <w:bookmarkEnd w:id="69"/>
      <w:bookmarkEnd w:id="70"/>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S-8 (Nos. 333-163919, 333-190222, 333-199120, 333-213835, 333-234303, 333-244380, 333-266105 and 333-289761) of Oramed Pharmaceuticals Inc. of our report dated March 26, 2026 relating to the financial statements, which appears in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Kesselman &amp; Kesselman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 (Isr.)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firm of PricewaterhouseCoopers International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Tel-Aviv, Israel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1" w:name="ea028261801ex31-1.htm"/>
      <w:bookmarkStart w:id="72" w:name="ksea028261801ex311"/>
      <w:bookmarkEnd w:id="71"/>
      <w:bookmarkEnd w:id="7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 AND 15d-14(a)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Nadav Kidron, certify that:</w:t>
      </w:r>
    </w:p>
    <w:p>
      <w:pPr>
        <w:pStyle w:val="TextBody"/>
        <w:bidi w:val="0"/>
        <w:spacing w:before="0" w:after="0"/>
        <w:ind w:left="567" w:right="0" w:hanging="567"/>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85"/>
        <w:gridCol w:w="6725"/>
      </w:tblGrid>
      <w:tr>
        <w:trPr/>
        <w:tc>
          <w:tcPr>
            <w:tcW w:w="185" w:type="dxa"/>
            <w:tcBorders/>
            <w:vAlign w:val="center"/>
          </w:tcPr>
          <w:p>
            <w:pPr>
              <w:pStyle w:val="TableContents"/>
              <w:bidi w:val="0"/>
              <w:spacing w:before="0" w:after="283"/>
              <w:jc w:val="left"/>
              <w:rPr>
                <w:sz w:val="20"/>
              </w:rPr>
            </w:pPr>
            <w:r>
              <w:rPr>
                <w:sz w:val="20"/>
              </w:rPr>
              <w:t>1.</w:t>
            </w:r>
          </w:p>
        </w:tc>
        <w:tc>
          <w:tcPr>
            <w:tcW w:w="6725" w:type="dxa"/>
            <w:tcBorders/>
            <w:vAlign w:val="center"/>
          </w:tcPr>
          <w:p>
            <w:pPr>
              <w:pStyle w:val="TableContents"/>
              <w:bidi w:val="0"/>
              <w:spacing w:before="0" w:after="283"/>
              <w:jc w:val="both"/>
              <w:rPr>
                <w:sz w:val="20"/>
              </w:rPr>
            </w:pPr>
            <w:r>
              <w:rPr>
                <w:sz w:val="20"/>
              </w:rPr>
              <w:t>I have reviewed this Annual Report on Form 10-K of Oramed Pharmaceuticals Inc.;</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1134" w:right="0" w:hanging="567"/>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05"/>
        <w:gridCol w:w="320"/>
        <w:gridCol w:w="3095"/>
      </w:tblGrid>
      <w:tr>
        <w:trPr/>
        <w:tc>
          <w:tcPr>
            <w:tcW w:w="1805" w:type="dxa"/>
            <w:tcBorders/>
            <w:vAlign w:val="center"/>
          </w:tcPr>
          <w:p>
            <w:pPr>
              <w:pStyle w:val="TableContents"/>
              <w:bidi w:val="0"/>
              <w:spacing w:before="0" w:after="283"/>
              <w:jc w:val="left"/>
              <w:rPr>
                <w:sz w:val="20"/>
              </w:rPr>
            </w:pPr>
            <w:r>
              <w:rPr>
                <w:sz w:val="20"/>
              </w:rPr>
              <w:t>Date: March 26, 2026</w:t>
            </w:r>
          </w:p>
        </w:tc>
        <w:tc>
          <w:tcPr>
            <w:tcW w:w="320" w:type="dxa"/>
            <w:tcBorders/>
            <w:vAlign w:val="center"/>
          </w:tcPr>
          <w:p>
            <w:pPr>
              <w:pStyle w:val="TableContents"/>
              <w:bidi w:val="0"/>
              <w:spacing w:before="0" w:after="283"/>
              <w:jc w:val="left"/>
              <w:rPr>
                <w:sz w:val="20"/>
              </w:rPr>
            </w:pPr>
            <w:r>
              <w:rPr>
                <w:sz w:val="20"/>
              </w:rPr>
              <w:t>By:</w:t>
            </w:r>
          </w:p>
        </w:tc>
        <w:tc>
          <w:tcPr>
            <w:tcW w:w="30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Nadav Kidron</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Nadav Kidron</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3" w:name="ea028261801ex31-2.htm"/>
      <w:bookmarkStart w:id="74" w:name="ksea028261801ex312"/>
      <w:bookmarkEnd w:id="73"/>
      <w:bookmarkEnd w:id="7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RULE 13a-14(a) AND 15d-14(a)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Avraham Gabay, certify that:</w:t>
      </w:r>
    </w:p>
    <w:p>
      <w:pPr>
        <w:pStyle w:val="TextBody"/>
        <w:bidi w:val="0"/>
        <w:spacing w:before="0" w:after="0"/>
        <w:ind w:left="567" w:right="0" w:hanging="567"/>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85"/>
        <w:gridCol w:w="6725"/>
      </w:tblGrid>
      <w:tr>
        <w:trPr/>
        <w:tc>
          <w:tcPr>
            <w:tcW w:w="185" w:type="dxa"/>
            <w:tcBorders/>
            <w:vAlign w:val="center"/>
          </w:tcPr>
          <w:p>
            <w:pPr>
              <w:pStyle w:val="TableContents"/>
              <w:bidi w:val="0"/>
              <w:spacing w:before="0" w:after="283"/>
              <w:jc w:val="left"/>
              <w:rPr>
                <w:sz w:val="20"/>
              </w:rPr>
            </w:pPr>
            <w:r>
              <w:rPr>
                <w:sz w:val="20"/>
              </w:rPr>
              <w:t>1.</w:t>
            </w:r>
          </w:p>
        </w:tc>
        <w:tc>
          <w:tcPr>
            <w:tcW w:w="6725" w:type="dxa"/>
            <w:tcBorders/>
            <w:vAlign w:val="center"/>
          </w:tcPr>
          <w:p>
            <w:pPr>
              <w:pStyle w:val="TableContents"/>
              <w:bidi w:val="0"/>
              <w:spacing w:before="0" w:after="283"/>
              <w:jc w:val="both"/>
              <w:rPr>
                <w:sz w:val="20"/>
              </w:rPr>
            </w:pPr>
            <w:r>
              <w:rPr>
                <w:sz w:val="20"/>
              </w:rPr>
              <w:t>I have reviewed this Annual Report on Form 10-K of Oramed Pharmaceuticals Inc.;</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sz w:val="20"/>
              </w:rPr>
            </w:pPr>
            <w:r>
              <w:rPr>
                <w:sz w:val="20"/>
              </w:rPr>
              <w:t>2.</w:t>
            </w:r>
          </w:p>
        </w:tc>
        <w:tc>
          <w:tcPr>
            <w:tcW w:w="10048"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sz w:val="20"/>
              </w:rPr>
            </w:pPr>
            <w:r>
              <w:rPr>
                <w:sz w:val="20"/>
              </w:rPr>
              <w:t>3.</w:t>
            </w:r>
          </w:p>
        </w:tc>
        <w:tc>
          <w:tcPr>
            <w:tcW w:w="10046"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sz w:val="20"/>
              </w:rPr>
            </w:pPr>
            <w:r>
              <w:rPr>
                <w:sz w:val="20"/>
              </w:rPr>
              <w:t>4.</w:t>
            </w:r>
          </w:p>
        </w:tc>
        <w:tc>
          <w:tcPr>
            <w:tcW w:w="10049" w:type="dxa"/>
            <w:tcBorders/>
            <w:vAlign w:val="center"/>
          </w:tcPr>
          <w:p>
            <w:pPr>
              <w:pStyle w:val="TableContents"/>
              <w:bidi w:val="0"/>
              <w:spacing w:before="0" w:after="283"/>
              <w:jc w:val="both"/>
              <w:rPr>
                <w:sz w:val="20"/>
              </w:rPr>
            </w:pPr>
            <w:r>
              <w:rPr>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tc>
      </w:tr>
    </w:tbl>
    <w:p>
      <w:pPr>
        <w:pStyle w:val="TextBody"/>
        <w:bidi w:val="0"/>
        <w:spacing w:before="0" w:after="0"/>
        <w:ind w:left="567"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sz w:val="20"/>
              </w:rPr>
            </w:pPr>
            <w:r>
              <w:rPr>
                <w:sz w:val="20"/>
              </w:rPr>
              <w:t>5.</w:t>
            </w:r>
          </w:p>
        </w:tc>
        <w:tc>
          <w:tcPr>
            <w:tcW w:w="10047" w:type="dxa"/>
            <w:tcBorders/>
            <w:vAlign w:val="center"/>
          </w:tcPr>
          <w:p>
            <w:pPr>
              <w:pStyle w:val="TableContents"/>
              <w:bidi w:val="0"/>
              <w:spacing w:before="0" w:after="283"/>
              <w:jc w:val="both"/>
              <w:rPr>
                <w:sz w:val="20"/>
              </w:rPr>
            </w:pPr>
            <w:r>
              <w:rPr>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134" w:right="0" w:hanging="5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1134" w:right="0" w:hanging="567"/>
        <w:jc w:val="left"/>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805"/>
        <w:gridCol w:w="320"/>
        <w:gridCol w:w="1895"/>
      </w:tblGrid>
      <w:tr>
        <w:trPr/>
        <w:tc>
          <w:tcPr>
            <w:tcW w:w="1805" w:type="dxa"/>
            <w:tcBorders/>
            <w:vAlign w:val="center"/>
          </w:tcPr>
          <w:p>
            <w:pPr>
              <w:pStyle w:val="TableContents"/>
              <w:bidi w:val="0"/>
              <w:spacing w:before="0" w:after="283"/>
              <w:jc w:val="left"/>
              <w:rPr>
                <w:sz w:val="20"/>
              </w:rPr>
            </w:pPr>
            <w:r>
              <w:rPr>
                <w:sz w:val="20"/>
              </w:rPr>
              <w:t>Date: March 26, 2026</w:t>
            </w:r>
          </w:p>
        </w:tc>
        <w:tc>
          <w:tcPr>
            <w:tcW w:w="320" w:type="dxa"/>
            <w:tcBorders/>
            <w:vAlign w:val="center"/>
          </w:tcPr>
          <w:p>
            <w:pPr>
              <w:pStyle w:val="TableContents"/>
              <w:bidi w:val="0"/>
              <w:spacing w:before="0" w:after="283"/>
              <w:jc w:val="left"/>
              <w:rPr>
                <w:sz w:val="20"/>
              </w:rPr>
            </w:pPr>
            <w:r>
              <w:rPr>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Avraham Gabay</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Avraham Gabay</w:t>
            </w:r>
          </w:p>
        </w:tc>
      </w:tr>
      <w:tr>
        <w:trPr/>
        <w:tc>
          <w:tcPr>
            <w:tcW w:w="18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1134" w:right="0" w:hanging="567"/>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5" w:name="ea028261801ex32-1.htm"/>
      <w:bookmarkStart w:id="76" w:name="ksea028261801ex321"/>
      <w:bookmarkEnd w:id="75"/>
      <w:bookmarkEnd w:id="7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Oramed Pharmaceuticals Inc., or the Company, on Form 10-K for the period ended December 31, 2025, as filed with the Securities and Exchange Commission on the date hereof, or the Report, I, Nadav Kidron, Chief Executive Officer of the Company, certify, pursuant to 18 U.S.C. Section 1350, that to my knowledge:</w:t>
      </w:r>
    </w:p>
    <w:p>
      <w:pPr>
        <w:pStyle w:val="TextBody"/>
        <w:bidi w:val="0"/>
        <w:spacing w:before="0" w:after="0"/>
        <w:ind w:left="340" w:right="0" w:hanging="332"/>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340" w:right="0" w:hanging="3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sz w:val="20"/>
              </w:rPr>
            </w:pPr>
            <w:r>
              <w:rPr>
                <w:sz w:val="20"/>
              </w:rPr>
              <w:t>2.</w:t>
            </w:r>
          </w:p>
        </w:tc>
        <w:tc>
          <w:tcPr>
            <w:tcW w:w="1002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340" w:right="0" w:hanging="332"/>
        <w:jc w:val="left"/>
        <w:rPr>
          <w:caps w:val="false"/>
          <w:smallCaps w:val="false"/>
        </w:rPr>
      </w:pPr>
      <w:r>
        <w:rPr>
          <w:caps w:val="false"/>
          <w:smallCaps w:val="false"/>
        </w:rPr>
        <w:t> </w:t>
      </w:r>
    </w:p>
    <w:tbl>
      <w:tblPr>
        <w:tblW w:w="4785" w:type="dxa"/>
        <w:jc w:val="left"/>
        <w:tblInd w:w="0" w:type="dxa"/>
        <w:tblLayout w:type="fixed"/>
        <w:tblCellMar>
          <w:top w:w="0" w:type="dxa"/>
          <w:left w:w="0" w:type="dxa"/>
          <w:bottom w:w="0" w:type="dxa"/>
          <w:right w:w="0" w:type="dxa"/>
        </w:tblCellMar>
      </w:tblPr>
      <w:tblGrid>
        <w:gridCol w:w="2120"/>
        <w:gridCol w:w="365"/>
        <w:gridCol w:w="2300"/>
      </w:tblGrid>
      <w:tr>
        <w:trPr/>
        <w:tc>
          <w:tcPr>
            <w:tcW w:w="2120" w:type="dxa"/>
            <w:tcBorders/>
            <w:vAlign w:val="center"/>
          </w:tcPr>
          <w:p>
            <w:pPr>
              <w:pStyle w:val="TableContents"/>
              <w:bidi w:val="0"/>
              <w:spacing w:before="0" w:after="283"/>
              <w:jc w:val="left"/>
              <w:rPr/>
            </w:pPr>
            <w:r>
              <w:rPr/>
              <w:t>Date: March 26,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Nadav Kidron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Nadav Kidron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7" w:name="ea028261801ex32-2.htm"/>
      <w:bookmarkStart w:id="78" w:name="ksea028261801ex322"/>
      <w:bookmarkEnd w:id="77"/>
      <w:bookmarkEnd w:id="78"/>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Oramed Pharmaceuticals Inc., or the Company, on Form 10-K for the period ended December 31, 2025, as filed with the Securities and Exchange Commission on the date hereof, or the Report, I, Avraham Gabay, Chief Financial Officer of the Company, certify, pursuant to 18 U.S.C. Section 1350, that to my knowledge:</w:t>
      </w:r>
    </w:p>
    <w:p>
      <w:pPr>
        <w:pStyle w:val="TextBody"/>
        <w:bidi w:val="0"/>
        <w:spacing w:before="0" w:after="0"/>
        <w:ind w:left="340" w:right="0" w:hanging="332"/>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85"/>
        <w:gridCol w:w="9575"/>
      </w:tblGrid>
      <w:tr>
        <w:trPr/>
        <w:tc>
          <w:tcPr>
            <w:tcW w:w="185" w:type="dxa"/>
            <w:tcBorders/>
            <w:vAlign w:val="center"/>
          </w:tcPr>
          <w:p>
            <w:pPr>
              <w:pStyle w:val="TableContents"/>
              <w:bidi w:val="0"/>
              <w:spacing w:before="0" w:after="283"/>
              <w:jc w:val="left"/>
              <w:rPr>
                <w:sz w:val="20"/>
              </w:rPr>
            </w:pPr>
            <w:r>
              <w:rPr>
                <w:sz w:val="20"/>
              </w:rPr>
              <w:t>1.</w:t>
            </w:r>
          </w:p>
        </w:tc>
        <w:tc>
          <w:tcPr>
            <w:tcW w:w="9575" w:type="dxa"/>
            <w:tcBorders/>
            <w:vAlign w:val="center"/>
          </w:tcPr>
          <w:p>
            <w:pPr>
              <w:pStyle w:val="TableContents"/>
              <w:bidi w:val="0"/>
              <w:spacing w:before="0" w:after="283"/>
              <w:jc w:val="both"/>
              <w:rPr>
                <w:sz w:val="20"/>
              </w:rPr>
            </w:pPr>
            <w:r>
              <w:rPr>
                <w:sz w:val="20"/>
              </w:rPr>
              <w:t>The Report fully complies with the requirements of section 13(a) or 15(d) of the Securities Exchange Act of 1934; and</w:t>
            </w:r>
          </w:p>
        </w:tc>
      </w:tr>
    </w:tbl>
    <w:p>
      <w:pPr>
        <w:pStyle w:val="TextBody"/>
        <w:bidi w:val="0"/>
        <w:spacing w:before="0" w:after="0"/>
        <w:ind w:left="340" w:right="0" w:hanging="3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sz w:val="20"/>
              </w:rPr>
            </w:pPr>
            <w:r>
              <w:rPr>
                <w:sz w:val="20"/>
              </w:rPr>
              <w:t>2.</w:t>
            </w:r>
          </w:p>
        </w:tc>
        <w:tc>
          <w:tcPr>
            <w:tcW w:w="10028"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340" w:right="0" w:hanging="332"/>
        <w:jc w:val="left"/>
        <w:rPr>
          <w:caps w:val="false"/>
          <w:smallCaps w:val="false"/>
        </w:rPr>
      </w:pPr>
      <w:r>
        <w:rPr>
          <w:caps w:val="false"/>
          <w:smallCaps w:val="false"/>
        </w:rPr>
        <w:t> </w:t>
      </w:r>
    </w:p>
    <w:tbl>
      <w:tblPr>
        <w:tblW w:w="4710" w:type="dxa"/>
        <w:jc w:val="left"/>
        <w:tblInd w:w="0" w:type="dxa"/>
        <w:tblLayout w:type="fixed"/>
        <w:tblCellMar>
          <w:top w:w="0" w:type="dxa"/>
          <w:left w:w="0" w:type="dxa"/>
          <w:bottom w:w="0" w:type="dxa"/>
          <w:right w:w="0" w:type="dxa"/>
        </w:tblCellMar>
      </w:tblPr>
      <w:tblGrid>
        <w:gridCol w:w="2120"/>
        <w:gridCol w:w="365"/>
        <w:gridCol w:w="2225"/>
      </w:tblGrid>
      <w:tr>
        <w:trPr/>
        <w:tc>
          <w:tcPr>
            <w:tcW w:w="2120" w:type="dxa"/>
            <w:tcBorders/>
            <w:vAlign w:val="center"/>
          </w:tcPr>
          <w:p>
            <w:pPr>
              <w:pStyle w:val="TableContents"/>
              <w:bidi w:val="0"/>
              <w:spacing w:before="0" w:after="283"/>
              <w:jc w:val="left"/>
              <w:rPr/>
            </w:pPr>
            <w:r>
              <w:rPr/>
              <w:t>Date: March 26, 2026</w:t>
            </w:r>
          </w:p>
        </w:tc>
        <w:tc>
          <w:tcPr>
            <w:tcW w:w="365"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Avraham Gabay</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Avraham Gabay</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176309/000121390020038924/f10k2020ex3-1_oramedpharma.htm" TargetMode="External"/><Relationship Id="rId5" Type="http://schemas.openxmlformats.org/officeDocument/2006/relationships/hyperlink" Target="https://www.sec.gov/Archives/edgar/data/1176309/000101376225003450/ea023439401ex3-2_oramed.htm" TargetMode="External"/><Relationship Id="rId6" Type="http://schemas.openxmlformats.org/officeDocument/2006/relationships/hyperlink" Target="https://www.sec.gov/Archives/edgar/data/1176309/000101376225003450/ea023439401ex3-3_oramed.htm" TargetMode="External"/><Relationship Id="rId7" Type="http://schemas.openxmlformats.org/officeDocument/2006/relationships/hyperlink" Target="https://www.sec.gov/Archives/edgar/data/1176309/000117891313000211/exhibit_4-1.htm" TargetMode="External"/><Relationship Id="rId8" Type="http://schemas.openxmlformats.org/officeDocument/2006/relationships/hyperlink" Target="http://www.sec.gov/Archives/edgar/data/1176309/000101376225003450/ea023439401ex4-2_oramed.htm" TargetMode="External"/><Relationship Id="rId9" Type="http://schemas.openxmlformats.org/officeDocument/2006/relationships/hyperlink" Target="http://www.sec.gov/Archives/edgar/data/1176309/000121390025111298/ea026595901ex4-1_oramed.htm" TargetMode="External"/><Relationship Id="rId10" Type="http://schemas.openxmlformats.org/officeDocument/2006/relationships/hyperlink" Target="http://www.sec.gov/Archives/edgar/data/1176309/000121390026004382/ea027288901ex4-1_oramed.htm" TargetMode="External"/><Relationship Id="rId11" Type="http://schemas.openxmlformats.org/officeDocument/2006/relationships/hyperlink" Target="http://www.sec.gov/Archives/edgar/data/1176309/000121390026004382/ea027288901ex4-2_oramed.htm" TargetMode="External"/><Relationship Id="rId12" Type="http://schemas.openxmlformats.org/officeDocument/2006/relationships/hyperlink" Target="http://www.sec.gov/Archives/edgar/data/1176309/000121390026004382/ea027288901ex4-3_oramed.htm" TargetMode="External"/><Relationship Id="rId13" Type="http://schemas.openxmlformats.org/officeDocument/2006/relationships/hyperlink" Target="http://www.sec.gov/Archives/edgar/data/1176309/000121390026004382/ea027288901ex4-4_oramed.htm" TargetMode="External"/><Relationship Id="rId14" Type="http://schemas.openxmlformats.org/officeDocument/2006/relationships/hyperlink" Target="http://www.sec.gov/Archives/edgar/data/1176309/000101297526000195/ormp-ex10_2.htm" TargetMode="External"/><Relationship Id="rId15" Type="http://schemas.openxmlformats.org/officeDocument/2006/relationships/hyperlink" Target="https://www.sec.gov/Archives/edgar/data/1176309/000121390023017837/f10k2022ex10-1_oramedpharma.htm" TargetMode="External"/><Relationship Id="rId16" Type="http://schemas.openxmlformats.org/officeDocument/2006/relationships/hyperlink" Target="http://www.sec.gov/Archives/edgar/data/1176309/000121390023017837/f10k2022ex10-2_oramedpharma.htm" TargetMode="External"/><Relationship Id="rId17" Type="http://schemas.openxmlformats.org/officeDocument/2006/relationships/hyperlink" Target="https://www.sec.gov/Archives/edgar/data/1176309/000121390024020485/ea0200896ex10-5_oramed.htm" TargetMode="External"/><Relationship Id="rId18" Type="http://schemas.openxmlformats.org/officeDocument/2006/relationships/hyperlink" Target="https://www.sec.gov/Archives/edgar/data/1176309/000121390024020485/ea0200896ex10-6_oramed.htm" TargetMode="External"/><Relationship Id="rId19" Type="http://schemas.openxmlformats.org/officeDocument/2006/relationships/hyperlink" Target="http://www.sec.gov/Archives/edgar/data/1176309/000101376225003450/ea023439401ex10-73_oramed.htm" TargetMode="External"/><Relationship Id="rId20" Type="http://schemas.openxmlformats.org/officeDocument/2006/relationships/hyperlink" Target="http://www.sec.gov/Archives/edgar/data/1176309/000121390025044193/ea024168701ex10-2_oramed.htm" TargetMode="External"/><Relationship Id="rId21" Type="http://schemas.openxmlformats.org/officeDocument/2006/relationships/hyperlink" Target="https://www.sec.gov/Archives/edgar/data/1176309/000121390025044193/ea024168701ex10-3_oramed.htm" TargetMode="External"/><Relationship Id="rId22" Type="http://schemas.openxmlformats.org/officeDocument/2006/relationships/hyperlink" Target="https://www.sec.gov/Archives/edgar/data/1176309/000121390019014679/def14a0819_oramedpharma.htm" TargetMode="External"/><Relationship Id="rId23" Type="http://schemas.openxmlformats.org/officeDocument/2006/relationships/hyperlink" Target="https://www.sec.gov/Archives/edgar/data/1176309/000121390020016305/ea123658-def14a_oramedpharma.htm" TargetMode="External"/><Relationship Id="rId24" Type="http://schemas.openxmlformats.org/officeDocument/2006/relationships/hyperlink" Target="https://www.sec.gov/Archives/edgar/data/1176309/000121390022030956/ea160778-def14a_oramed.htm" TargetMode="External"/><Relationship Id="rId25" Type="http://schemas.openxmlformats.org/officeDocument/2006/relationships/hyperlink" Target="https://www.sec.gov/Archives/edgar/data/1176309/000121390019024940/f10k2019ex10-17_oramed.htm" TargetMode="External"/><Relationship Id="rId26" Type="http://schemas.openxmlformats.org/officeDocument/2006/relationships/hyperlink" Target="https://www.sec.gov/Archives/edgar/data/1176309/000121390023017837/f10k2022ex10-23_oramedpharma.htm" TargetMode="External"/><Relationship Id="rId27" Type="http://schemas.openxmlformats.org/officeDocument/2006/relationships/hyperlink" Target="https://www.sec.gov/Archives/edgar/data/1176309/000121390024005780/ea192032ex10-1_oramed.htm" TargetMode="External"/><Relationship Id="rId28" Type="http://schemas.openxmlformats.org/officeDocument/2006/relationships/hyperlink" Target="https://www.sec.gov/Archives/edgar/data/1176309/000121390024023571/ea020174301ex1-1_oramed.htm" TargetMode="External"/><Relationship Id="rId29" Type="http://schemas.openxmlformats.org/officeDocument/2006/relationships/hyperlink" Target="https://www.sec.gov/Archives/edgar/data/1176309/000121390023079586/ea185680ex10-1_oramedpharma.htm" TargetMode="External"/><Relationship Id="rId30" Type="http://schemas.openxmlformats.org/officeDocument/2006/relationships/hyperlink" Target="https://www.sec.gov/Archives/edgar/data/1176309/000121390023079586/ea185680ex10-2_oramedpharma.htm" TargetMode="External"/><Relationship Id="rId31" Type="http://schemas.openxmlformats.org/officeDocument/2006/relationships/hyperlink" Target="https://www.sec.gov/Archives/edgar/data/1176309/000121390023079586/ea185680ex10-9_oramedpharma.htm" TargetMode="External"/><Relationship Id="rId32" Type="http://schemas.openxmlformats.org/officeDocument/2006/relationships/hyperlink" Target="https://www.sec.gov/Archives/edgar/data/1176309/000121390023079586/ea185680ex10-10_oramedpharma.htm" TargetMode="External"/><Relationship Id="rId33" Type="http://schemas.openxmlformats.org/officeDocument/2006/relationships/hyperlink" Target="https://www.sec.gov/Archives/edgar/data/1176309/000121390023079586/ea185680ex10-11_oramedpharma.htm" TargetMode="External"/><Relationship Id="rId34" Type="http://schemas.openxmlformats.org/officeDocument/2006/relationships/hyperlink" Target="http://www.sec.gov/Archives/edgar/data/1176309/000121390024080812/ea021534401ex10-1_oramed.htm" TargetMode="External"/><Relationship Id="rId35" Type="http://schemas.openxmlformats.org/officeDocument/2006/relationships/hyperlink" Target="http://www.sec.gov/Archives/edgar/data/1176309/000121390024082237/ea021564801ex10-1_oramed.htm" TargetMode="External"/><Relationship Id="rId36" Type="http://schemas.openxmlformats.org/officeDocument/2006/relationships/hyperlink" Target="http://www.sec.gov/Archives/edgar/data/1176309/000121390024086214/ea021693601ex10-1_oramed.htm" TargetMode="External"/><Relationship Id="rId37" Type="http://schemas.openxmlformats.org/officeDocument/2006/relationships/hyperlink" Target="http://www.sec.gov/Archives/edgar/data/1176309/000121390024086214/ea021693601ex10-2_oramed.htm" TargetMode="External"/><Relationship Id="rId38" Type="http://schemas.openxmlformats.org/officeDocument/2006/relationships/hyperlink" Target="http://www.sec.gov/Archives/edgar/data/1176309/000121390024086214/ea021693601ex10-3_oramed.htm" TargetMode="External"/><Relationship Id="rId39" Type="http://schemas.openxmlformats.org/officeDocument/2006/relationships/hyperlink" Target="https://www.sec.gov/Archives/edgar/data/1176309/000121390024086214/ea021693601ex10-4_oramed.htm" TargetMode="External"/><Relationship Id="rId40" Type="http://schemas.openxmlformats.org/officeDocument/2006/relationships/hyperlink" Target="https://www.sec.gov/Archives/edgar/data/1176309/000121390024086214/ea021693601ex10-5_oramed.htm" TargetMode="External"/><Relationship Id="rId41" Type="http://schemas.openxmlformats.org/officeDocument/2006/relationships/hyperlink" Target="https://www.sec.gov/Archives/edgar/data/1176309/000121390024086214/ea021693601ex10-6_oramed.htm" TargetMode="External"/><Relationship Id="rId42" Type="http://schemas.openxmlformats.org/officeDocument/2006/relationships/hyperlink" Target="https://www.sec.gov/Archives/edgar/data/1176309/000121390024086214/ea021693601ex10-7_oramed.htm" TargetMode="External"/><Relationship Id="rId43" Type="http://schemas.openxmlformats.org/officeDocument/2006/relationships/hyperlink" Target="https://www.sec.gov/Archives/edgar/data/1176309/000121390024086214/ea021693601ex10-8_oramed.htm" TargetMode="External"/><Relationship Id="rId44" Type="http://schemas.openxmlformats.org/officeDocument/2006/relationships/hyperlink" Target="https://www.sec.gov/Archives/edgar/data/1176309/000121390024086214/ea021693601ex10-9_oramed.htm" TargetMode="External"/><Relationship Id="rId45" Type="http://schemas.openxmlformats.org/officeDocument/2006/relationships/hyperlink" Target="https://www.sec.gov/Archives/edgar/data/1176309/000121390024086214/ea021693601ex10-10_oramed.htm" TargetMode="External"/><Relationship Id="rId46" Type="http://schemas.openxmlformats.org/officeDocument/2006/relationships/hyperlink" Target="https://www.sec.gov/Archives/edgar/data/1176309/000121390024086214/ea021693601ex10-11_oramed.htm" TargetMode="External"/><Relationship Id="rId47" Type="http://schemas.openxmlformats.org/officeDocument/2006/relationships/hyperlink" Target="https://www.sec.gov/Archives/edgar/data/1176309/000121390024086214/ea021693601ex10-12_oramed.htm" TargetMode="External"/><Relationship Id="rId48" Type="http://schemas.openxmlformats.org/officeDocument/2006/relationships/hyperlink" Target="https://www.sec.gov/Archives/edgar/data/1176309/000121390025000517/ea022670901ex10-1_oramed.htm" TargetMode="External"/><Relationship Id="rId49" Type="http://schemas.openxmlformats.org/officeDocument/2006/relationships/hyperlink" Target="https://www.sec.gov/Archives/edgar/data/1176309/000121390025005212/ea022830901ex10-1_oramed.htm" TargetMode="External"/><Relationship Id="rId50" Type="http://schemas.openxmlformats.org/officeDocument/2006/relationships/hyperlink" Target="http://www.sec.gov/Archives/edgar/data/1176309/000121390025036109/ea023980001ex10-1_oramed.htm" TargetMode="External"/><Relationship Id="rId51" Type="http://schemas.openxmlformats.org/officeDocument/2006/relationships/hyperlink" Target="https://www.sec.gov/Archives/edgar/data/1176309/000121390025066819/ea024881701ex10-1_oramed.htm" TargetMode="External"/><Relationship Id="rId52" Type="http://schemas.openxmlformats.org/officeDocument/2006/relationships/hyperlink" Target="https://www.sec.gov/Archives/edgar/data/1176309/000121390025101825/ea026231901ex10-1_oramed.htm" TargetMode="External"/><Relationship Id="rId53" Type="http://schemas.openxmlformats.org/officeDocument/2006/relationships/hyperlink" Target="https://www.sec.gov/Archives/edgar/data/1176309/000121390026004382/ea027288901ex10-1_oramed.htm" TargetMode="External"/><Relationship Id="rId54" Type="http://schemas.openxmlformats.org/officeDocument/2006/relationships/hyperlink" Target="https://www.sec.gov/Archives/edgar/data/1176309/000121390026004382/ea027288901ex10-2_oramed.htm" TargetMode="External"/><Relationship Id="rId55" Type="http://schemas.openxmlformats.org/officeDocument/2006/relationships/hyperlink" Target="https://www.sec.gov/Archives/edgar/data/1176309/000121390026004382/ea027288901ex10-3_oramed.htm" TargetMode="External"/><Relationship Id="rId56" Type="http://schemas.openxmlformats.org/officeDocument/2006/relationships/hyperlink" Target="https://www.sec.gov/Archives/edgar/data/1176309/000121390026004382/ea027288901ex10-4_oramed.htm" TargetMode="External"/><Relationship Id="rId57" Type="http://schemas.openxmlformats.org/officeDocument/2006/relationships/hyperlink" Target="https://www.sec.gov/Archives/edgar/data/1176309/000101297526000195/ormp-ex10_1.htm" TargetMode="External"/><Relationship Id="rId58" Type="http://schemas.openxmlformats.org/officeDocument/2006/relationships/hyperlink" Target="https://www.sec.gov/Archives/edgar/data/1176309/000101376225003450/ea023439401ex19-1_oramed.htm" TargetMode="External"/><Relationship Id="rId59" Type="http://schemas.openxmlformats.org/officeDocument/2006/relationships/hyperlink" Target="https://www.sec.gov/Archives/edgar/data/1176309/000101376225003450/ea023439401ex21-1_oramed.htm" TargetMode="External"/><Relationship Id="rId60" Type="http://schemas.openxmlformats.org/officeDocument/2006/relationships/hyperlink" Target="https://www.sec.gov/Archives/edgar/data/1176309/000121390024020485/ea0200896ex97-1_oramed.htm" TargetMode="External"/><Relationship Id="rId61" Type="http://schemas.openxmlformats.org/officeDocument/2006/relationships/image" Target="media/image3.jpeg"/><Relationship Id="rId62" Type="http://schemas.openxmlformats.org/officeDocument/2006/relationships/fontTable" Target="fontTable.xml"/><Relationship Id="rId6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90589</Words>
  <Characters>487182</Characters>
  <CharactersWithSpaces>580330</CharactersWithSpaces>
  <Paragraphs>12900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