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KIDRON NADAV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 and CEO</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38"/>
        <w:gridCol w:w="935"/>
        <w:gridCol w:w="805"/>
        <w:gridCol w:w="620"/>
        <w:gridCol w:w="336"/>
        <w:gridCol w:w="952"/>
        <w:gridCol w:w="400"/>
        <w:gridCol w:w="692"/>
        <w:gridCol w:w="1235"/>
        <w:gridCol w:w="947"/>
        <w:gridCol w:w="154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4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03/30/2026</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44,818</w:t>
            </w:r>
            <w:r>
              <w:rPr>
                <w:rFonts w:ascii="Times;serif" w:hAnsi="Times;serif"/>
                <w:color w:val="008000"/>
                <w:position w:val="7"/>
                <w:sz w:val="16"/>
                <w:sz w:val="20"/>
                <w:shd w:fill="FFFFFF" w:val="clear"/>
              </w:rPr>
              <w:t>(1)</w:t>
            </w:r>
            <w:r>
              <w:rPr/>
              <w:t xml:space="preserve"> </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w:t>
            </w:r>
            <w:r>
              <w:rPr>
                <w:rFonts w:ascii="Times;serif" w:hAnsi="Times;serif"/>
                <w:color w:val="008000"/>
                <w:position w:val="7"/>
                <w:sz w:val="16"/>
                <w:sz w:val="20"/>
                <w:shd w:fill="FFFFFF" w:val="clear"/>
              </w:rPr>
              <w:t>(1)</w:t>
            </w:r>
            <w:r>
              <w:rPr/>
              <w:t xml:space="preserve"> </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3,422,243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5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126,000</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wholly-owned corporation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$0.012 per share ("Common Stock"), of the Issuer used to satisfy tax withholding obligations attributable to the vesting and settlement of Restricted Stock Units, which were valued at the closing price of the Issuer's Common Stock on the date immediately prior to the vesting date, equal to $3.31 per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Nadav Kidron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1779"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3395</Characters>
  <CharactersWithSpaces>3959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