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5" w:lineRule="exact"/>
        <w:rPr>
          <w:sz w:val="24"/>
          <w:szCs w:val="24"/>
          <w:color w:val="auto"/>
        </w:rPr>
      </w:pPr>
    </w:p>
    <w:p>
      <w:pPr>
        <w:jc w:val="center"/>
        <w:ind w:left="3820" w:right="940" w:hanging="2872"/>
        <w:spacing w:after="0" w:line="479" w:lineRule="auto"/>
        <w:tabs>
          <w:tab w:leader="none" w:pos="1163"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2024</w:t>
      </w:r>
    </w:p>
    <w:p>
      <w:pPr>
        <w:spacing w:after="0" w:line="37" w:lineRule="exact"/>
        <w:rPr>
          <w:rFonts w:ascii="MS PGothic" w:cs="MS PGothic" w:eastAsia="MS PGothic" w:hAnsi="MS PGothic"/>
          <w:sz w:val="18"/>
          <w:szCs w:val="18"/>
          <w:color w:val="auto"/>
        </w:rPr>
      </w:pPr>
    </w:p>
    <w:p>
      <w:pPr>
        <w:jc w:val="center"/>
        <w:ind w:left="4240" w:right="940" w:hanging="3299"/>
        <w:spacing w:after="0" w:line="500" w:lineRule="auto"/>
        <w:tabs>
          <w:tab w:leader="none" w:pos="115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Commission file number: 001-35813</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ORAMED PHARMACEUTICALS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000" w:type="dxa"/>
            <w:vAlign w:val="bottom"/>
            <w:tcBorders>
              <w:bottom w:val="single" w:sz="8" w:color="auto"/>
            </w:tcBorders>
            <w:gridSpan w:val="3"/>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98-0376008</w:t>
            </w:r>
          </w:p>
        </w:tc>
      </w:tr>
      <w:tr>
        <w:trPr>
          <w:trHeight w:val="198"/>
        </w:trPr>
        <w:tc>
          <w:tcPr>
            <w:tcW w:w="5000" w:type="dxa"/>
            <w:vAlign w:val="bottom"/>
            <w:gridSpan w:val="3"/>
          </w:tcPr>
          <w:p>
            <w:pPr>
              <w:jc w:val="center"/>
              <w:ind w:left="430"/>
              <w:spacing w:after="0" w:line="198"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0" w:type="dxa"/>
            <w:vAlign w:val="bottom"/>
          </w:tcPr>
          <w:p>
            <w:pPr>
              <w:jc w:val="center"/>
              <w:ind w:right="1810"/>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500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8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9"/>
        </w:trPr>
        <w:tc>
          <w:tcPr>
            <w:tcW w:w="5000" w:type="dxa"/>
            <w:vAlign w:val="bottom"/>
            <w:tcBorders>
              <w:bottom w:val="single" w:sz="8" w:color="auto"/>
            </w:tcBorders>
            <w:gridSpan w:val="3"/>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8"/>
              </w:rPr>
              <w:t>1185 Avenue of the Americas, Third Floor, New York, NY</w:t>
            </w:r>
          </w:p>
        </w:tc>
        <w:tc>
          <w:tcPr>
            <w:tcW w:w="5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10036</w:t>
            </w:r>
          </w:p>
        </w:tc>
      </w:tr>
      <w:tr>
        <w:trPr>
          <w:trHeight w:val="234"/>
        </w:trPr>
        <w:tc>
          <w:tcPr>
            <w:tcW w:w="500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r>
        <w:trPr>
          <w:trHeight w:val="395"/>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40" w:type="dxa"/>
            <w:vAlign w:val="bottom"/>
            <w:gridSpan w:val="3"/>
          </w:tcPr>
          <w:p>
            <w:pPr>
              <w:jc w:val="center"/>
              <w:ind w:right="1180"/>
              <w:spacing w:after="0"/>
              <w:rPr>
                <w:sz w:val="20"/>
                <w:szCs w:val="20"/>
                <w:color w:val="auto"/>
              </w:rPr>
            </w:pPr>
            <w:r>
              <w:rPr>
                <w:rFonts w:ascii="Times New Roman" w:cs="Times New Roman" w:eastAsia="Times New Roman" w:hAnsi="Times New Roman"/>
                <w:sz w:val="18"/>
                <w:szCs w:val="18"/>
                <w:b w:val="1"/>
                <w:bCs w:val="1"/>
                <w:color w:val="auto"/>
                <w:w w:val="99"/>
              </w:rPr>
              <w:t>844-967-2633</w:t>
            </w: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4"/>
        </w:trPr>
        <w:tc>
          <w:tcPr>
            <w:tcW w:w="3620" w:type="dxa"/>
            <w:vAlign w:val="bottom"/>
          </w:tcPr>
          <w:p>
            <w:pPr>
              <w:spacing w:after="0"/>
              <w:rPr>
                <w:sz w:val="20"/>
                <w:szCs w:val="20"/>
                <w:color w:val="auto"/>
              </w:rPr>
            </w:pPr>
          </w:p>
        </w:tc>
        <w:tc>
          <w:tcPr>
            <w:tcW w:w="4020" w:type="dxa"/>
            <w:vAlign w:val="bottom"/>
            <w:gridSpan w:val="6"/>
          </w:tcPr>
          <w:p>
            <w:pPr>
              <w:jc w:val="center"/>
              <w:ind w:right="2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600" w:type="dxa"/>
            <w:vAlign w:val="bottom"/>
          </w:tcPr>
          <w:p>
            <w:pPr>
              <w:spacing w:after="0"/>
              <w:rPr>
                <w:sz w:val="20"/>
                <w:szCs w:val="20"/>
                <w:color w:val="auto"/>
              </w:rPr>
            </w:pPr>
          </w:p>
        </w:tc>
      </w:tr>
      <w:tr>
        <w:trPr>
          <w:trHeight w:val="432"/>
        </w:trPr>
        <w:tc>
          <w:tcPr>
            <w:tcW w:w="5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39"/>
        </w:trPr>
        <w:tc>
          <w:tcPr>
            <w:tcW w:w="5000" w:type="dxa"/>
            <w:vAlign w:val="bottom"/>
            <w:gridSpan w:val="3"/>
          </w:tcPr>
          <w:p>
            <w:pPr>
              <w:jc w:val="center"/>
              <w:ind w:right="138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640" w:type="dxa"/>
            <w:vAlign w:val="bottom"/>
            <w:gridSpan w:val="4"/>
          </w:tcPr>
          <w:p>
            <w:pPr>
              <w:jc w:val="center"/>
              <w:ind w:right="1360"/>
              <w:spacing w:after="0"/>
              <w:rPr>
                <w:sz w:val="20"/>
                <w:szCs w:val="20"/>
                <w:color w:val="auto"/>
              </w:rPr>
            </w:pPr>
            <w:r>
              <w:rPr>
                <w:rFonts w:ascii="Times New Roman" w:cs="Times New Roman" w:eastAsia="Times New Roman" w:hAnsi="Times New Roman"/>
                <w:sz w:val="18"/>
                <w:szCs w:val="18"/>
                <w:b w:val="1"/>
                <w:bCs w:val="1"/>
                <w:color w:val="auto"/>
                <w:w w:val="97"/>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8"/>
        </w:trPr>
        <w:tc>
          <w:tcPr>
            <w:tcW w:w="362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Common Stock, par value $0.012</w:t>
            </w:r>
          </w:p>
        </w:tc>
        <w:tc>
          <w:tcPr>
            <w:tcW w:w="2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440" w:type="dxa"/>
            <w:vAlign w:val="bottom"/>
            <w:tcBorders>
              <w:top w:val="single" w:sz="8" w:color="auto"/>
            </w:tcBorders>
            <w:gridSpan w:val="3"/>
            <w:shd w:val="clear" w:color="auto" w:fill="CCEEFF"/>
          </w:tcPr>
          <w:p>
            <w:pPr>
              <w:jc w:val="center"/>
              <w:ind w:right="1160"/>
              <w:spacing w:after="0" w:line="198" w:lineRule="exact"/>
              <w:rPr>
                <w:sz w:val="20"/>
                <w:szCs w:val="20"/>
                <w:color w:val="auto"/>
              </w:rPr>
            </w:pPr>
            <w:r>
              <w:rPr>
                <w:rFonts w:ascii="Times New Roman" w:cs="Times New Roman" w:eastAsia="Times New Roman" w:hAnsi="Times New Roman"/>
                <w:sz w:val="18"/>
                <w:szCs w:val="18"/>
                <w:color w:val="auto"/>
              </w:rPr>
              <w:t>ORMP</w:t>
            </w:r>
          </w:p>
        </w:tc>
        <w:tc>
          <w:tcPr>
            <w:tcW w:w="20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Capital Market,</w:t>
            </w:r>
          </w:p>
        </w:tc>
      </w:tr>
      <w:tr>
        <w:trPr>
          <w:trHeight w:val="234"/>
        </w:trPr>
        <w:tc>
          <w:tcPr>
            <w:tcW w:w="3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Tel Aviv Stock Exchange</w:t>
            </w:r>
          </w:p>
        </w:tc>
      </w:tr>
    </w:tbl>
    <w:p>
      <w:pPr>
        <w:spacing w:after="0" w:line="198" w:lineRule="exact"/>
        <w:rPr>
          <w:sz w:val="24"/>
          <w:szCs w:val="24"/>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35" w:lineRule="exact"/>
        <w:rPr>
          <w:sz w:val="24"/>
          <w:szCs w:val="24"/>
          <w:color w:val="auto"/>
        </w:rPr>
      </w:pPr>
    </w:p>
    <w:p>
      <w:pPr>
        <w:jc w:val="center"/>
        <w:spacing w:after="0" w:line="207" w:lineRule="exact"/>
        <w:tabs>
          <w:tab w:leader="none" w:pos="16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66"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21" w:lineRule="exact"/>
        <w:rPr>
          <w:sz w:val="24"/>
          <w:szCs w:val="24"/>
          <w:color w:val="auto"/>
        </w:rPr>
      </w:pPr>
    </w:p>
    <w:p>
      <w:pPr>
        <w:jc w:val="center"/>
        <w:spacing w:after="0" w:line="207" w:lineRule="exact"/>
        <w:tabs>
          <w:tab w:leader="none" w:pos="16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66" w:lineRule="exact"/>
        <w:rPr>
          <w:sz w:val="24"/>
          <w:szCs w:val="24"/>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8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8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2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7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184" w:lineRule="exact"/>
        <w:rPr>
          <w:sz w:val="24"/>
          <w:szCs w:val="24"/>
          <w:color w:val="auto"/>
        </w:rPr>
      </w:pPr>
    </w:p>
    <w:p>
      <w:pPr>
        <w:jc w:val="center"/>
        <w:spacing w:after="0" w:line="207" w:lineRule="exact"/>
        <w:tabs>
          <w:tab w:leader="none" w:pos="16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May 9, 2024, there were 40,628,924 shares of the issuer’s common stock, $0.012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471805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ORAMED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720" w:type="dxa"/>
            <w:vAlign w:val="bottom"/>
            <w:gridSpan w:val="3"/>
          </w:tcPr>
          <w:p>
            <w:pPr>
              <w:ind w:left="11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20" w:type="dxa"/>
            <w:vAlign w:val="bottom"/>
          </w:tcPr>
          <w:p>
            <w:pPr>
              <w:spacing w:after="0"/>
              <w:rPr>
                <w:sz w:val="20"/>
                <w:szCs w:val="20"/>
                <w:color w:val="auto"/>
              </w:rPr>
            </w:pPr>
          </w:p>
        </w:tc>
      </w:tr>
      <w:tr>
        <w:trPr>
          <w:trHeight w:val="216"/>
        </w:trPr>
        <w:tc>
          <w:tcPr>
            <w:tcW w:w="160" w:type="dxa"/>
            <w:vAlign w:val="bottom"/>
          </w:tcPr>
          <w:p>
            <w:pPr>
              <w:spacing w:after="0"/>
              <w:rPr>
                <w:sz w:val="18"/>
                <w:szCs w:val="18"/>
                <w:color w:val="auto"/>
              </w:rPr>
            </w:pPr>
          </w:p>
        </w:tc>
        <w:tc>
          <w:tcPr>
            <w:tcW w:w="156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196"/>
        </w:trPr>
        <w:tc>
          <w:tcPr>
            <w:tcW w:w="1022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 - FINANCIAL INFORMATION</w:t>
            </w:r>
          </w:p>
        </w:tc>
        <w:tc>
          <w:tcPr>
            <w:tcW w:w="10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16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gridSpan w:val="2"/>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540" w:type="dxa"/>
            <w:vAlign w:val="bottom"/>
            <w:tcBorders>
              <w:top w:val="single" w:sz="8" w:color="CCEEFF"/>
            </w:tcBorders>
          </w:tcPr>
          <w:p>
            <w:pPr>
              <w:spacing w:after="0"/>
              <w:rPr>
                <w:sz w:val="18"/>
                <w:szCs w:val="18"/>
                <w:color w:val="auto"/>
              </w:rPr>
            </w:pPr>
          </w:p>
        </w:tc>
        <w:tc>
          <w:tcPr>
            <w:tcW w:w="27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10060" w:type="dxa"/>
            <w:vAlign w:val="bottom"/>
            <w:gridSpan w:val="9"/>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1 - FINANCIAL STATEMENTS</w:t>
            </w:r>
          </w:p>
        </w:tc>
        <w:tc>
          <w:tcPr>
            <w:tcW w:w="10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540" w:type="dxa"/>
            <w:vAlign w:val="bottom"/>
            <w:tcBorders>
              <w:top w:val="single" w:sz="8" w:color="CCEEFF"/>
            </w:tcBorders>
          </w:tcPr>
          <w:p>
            <w:pPr>
              <w:spacing w:after="0"/>
              <w:rPr>
                <w:sz w:val="18"/>
                <w:szCs w:val="18"/>
                <w:color w:val="auto"/>
              </w:rPr>
            </w:pPr>
          </w:p>
        </w:tc>
        <w:tc>
          <w:tcPr>
            <w:tcW w:w="27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7"/>
              </w:rPr>
              <w:t>ITEM 2</w:t>
            </w:r>
          </w:p>
        </w:tc>
        <w:tc>
          <w:tcPr>
            <w:tcW w:w="9460" w:type="dxa"/>
            <w:vAlign w:val="bottom"/>
            <w:gridSpan w:val="8"/>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 MANAGEMENT’S DISCUSSION AND ANALYSIS OF FINANCIAL CONDITION AND RESULTS OF OPERATIONS</w:t>
            </w:r>
          </w:p>
        </w:tc>
        <w:tc>
          <w:tcPr>
            <w:tcW w:w="10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540" w:type="dxa"/>
            <w:vAlign w:val="bottom"/>
            <w:tcBorders>
              <w:top w:val="single" w:sz="8" w:color="0000EE"/>
            </w:tcBorders>
          </w:tcPr>
          <w:p>
            <w:pPr>
              <w:spacing w:after="0"/>
              <w:rPr>
                <w:sz w:val="18"/>
                <w:szCs w:val="18"/>
                <w:color w:val="auto"/>
              </w:rPr>
            </w:pPr>
          </w:p>
        </w:tc>
        <w:tc>
          <w:tcPr>
            <w:tcW w:w="276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7"/>
              </w:rPr>
              <w:t>ITEM 3</w:t>
            </w:r>
          </w:p>
        </w:tc>
        <w:tc>
          <w:tcPr>
            <w:tcW w:w="9460" w:type="dxa"/>
            <w:vAlign w:val="bottom"/>
            <w:gridSpan w:val="8"/>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 QUANTITATIVE AND QUALITATIVE DISCLOSURES ABOUT MARKET RISK</w:t>
            </w:r>
          </w:p>
        </w:tc>
        <w:tc>
          <w:tcPr>
            <w:tcW w:w="10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216"/>
        </w:trPr>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540" w:type="dxa"/>
            <w:vAlign w:val="bottom"/>
            <w:tcBorders>
              <w:top w:val="single" w:sz="8" w:color="0000EE"/>
            </w:tcBorders>
          </w:tcPr>
          <w:p>
            <w:pPr>
              <w:spacing w:after="0"/>
              <w:rPr>
                <w:sz w:val="18"/>
                <w:szCs w:val="18"/>
                <w:color w:val="auto"/>
              </w:rPr>
            </w:pPr>
          </w:p>
        </w:tc>
        <w:tc>
          <w:tcPr>
            <w:tcW w:w="27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7"/>
              </w:rPr>
              <w:t>ITEM 4</w:t>
            </w:r>
          </w:p>
        </w:tc>
        <w:tc>
          <w:tcPr>
            <w:tcW w:w="9460" w:type="dxa"/>
            <w:vAlign w:val="bottom"/>
            <w:gridSpan w:val="8"/>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 CONTROLS AND PROCEDURES</w:t>
            </w:r>
          </w:p>
        </w:tc>
        <w:tc>
          <w:tcPr>
            <w:tcW w:w="10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216"/>
        </w:trPr>
        <w:tc>
          <w:tcPr>
            <w:tcW w:w="160" w:type="dxa"/>
            <w:vAlign w:val="bottom"/>
            <w:tcBorders>
              <w:top w:val="single" w:sz="8" w:color="CCEEFF"/>
            </w:tcBorders>
          </w:tcPr>
          <w:p>
            <w:pPr>
              <w:spacing w:after="0"/>
              <w:rPr>
                <w:sz w:val="18"/>
                <w:szCs w:val="18"/>
                <w:color w:val="auto"/>
              </w:rPr>
            </w:pPr>
          </w:p>
        </w:tc>
        <w:tc>
          <w:tcPr>
            <w:tcW w:w="1560" w:type="dxa"/>
            <w:vAlign w:val="bottom"/>
            <w:tcBorders>
              <w:top w:val="single" w:sz="8" w:color="0000EE"/>
            </w:tcBorders>
            <w:gridSpan w:val="2"/>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540" w:type="dxa"/>
            <w:vAlign w:val="bottom"/>
            <w:tcBorders>
              <w:top w:val="single" w:sz="8" w:color="CCEEFF"/>
            </w:tcBorders>
          </w:tcPr>
          <w:p>
            <w:pPr>
              <w:spacing w:after="0"/>
              <w:rPr>
                <w:sz w:val="18"/>
                <w:szCs w:val="18"/>
                <w:color w:val="auto"/>
              </w:rPr>
            </w:pPr>
          </w:p>
        </w:tc>
        <w:tc>
          <w:tcPr>
            <w:tcW w:w="27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r>
      <w:tr>
        <w:trPr>
          <w:trHeight w:val="196"/>
        </w:trPr>
        <w:tc>
          <w:tcPr>
            <w:tcW w:w="1022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 - OTHER INFORMATION</w:t>
            </w:r>
          </w:p>
        </w:tc>
        <w:tc>
          <w:tcPr>
            <w:tcW w:w="10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1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540" w:type="dxa"/>
            <w:vAlign w:val="bottom"/>
            <w:tcBorders>
              <w:top w:val="single" w:sz="8" w:color="CCEEFF"/>
            </w:tcBorders>
          </w:tcPr>
          <w:p>
            <w:pPr>
              <w:spacing w:after="0"/>
              <w:rPr>
                <w:sz w:val="18"/>
                <w:szCs w:val="18"/>
                <w:color w:val="auto"/>
              </w:rPr>
            </w:pPr>
          </w:p>
        </w:tc>
        <w:tc>
          <w:tcPr>
            <w:tcW w:w="27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r>
      <w:tr>
        <w:trPr>
          <w:trHeight w:val="176"/>
        </w:trPr>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7"/>
              </w:rPr>
              <w:t>ITEM 6</w:t>
            </w:r>
          </w:p>
        </w:tc>
        <w:tc>
          <w:tcPr>
            <w:tcW w:w="9460" w:type="dxa"/>
            <w:vAlign w:val="bottom"/>
            <w:gridSpan w:val="8"/>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 EXHIBITS</w:t>
            </w:r>
          </w:p>
        </w:tc>
        <w:tc>
          <w:tcPr>
            <w:tcW w:w="10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20"/>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540" w:type="dxa"/>
            <w:vAlign w:val="bottom"/>
            <w:tcBorders>
              <w:top w:val="single" w:sz="8" w:color="CCEEFF"/>
            </w:tcBorders>
            <w:shd w:val="clear" w:color="auto" w:fill="CCEEFF"/>
          </w:tcPr>
          <w:p>
            <w:pPr>
              <w:spacing w:after="0" w:line="20" w:lineRule="exact"/>
              <w:rPr>
                <w:sz w:val="1"/>
                <w:szCs w:val="1"/>
                <w:color w:val="auto"/>
              </w:rPr>
            </w:pPr>
          </w:p>
        </w:tc>
        <w:tc>
          <w:tcPr>
            <w:tcW w:w="27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used in this Quarterly Report on Form 10-Q, the terms “we,” “us,” “our,” “Oramed” and the “Company” mean Oramed Pharmaceuticals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our wholly-owned subsidiaries, unless otherwise indicated. All dollar amounts refer to U.S. Dollars unless otherwise indicated.</w:t>
      </w:r>
    </w:p>
    <w:p>
      <w:pPr>
        <w:spacing w:after="0" w:line="207"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On March 31, 2024, the exchange rate between the New Israeli Shekel, or NIS, and the dollar, as quoted by the Bank of Israel, was NIS 3.681 to $1.00. Unless indicated otherwise by the context, statements in this Quarterly Report on Form 10-Q that provide the dollar equivalent of NIS amounts or provide the NIS equivalent of dollar amounts are based on such exchange rate.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statements contained in this Quarterly Report on Form 10-Q that are not historical facts are “forward-looking statements” within the meaning of the Private Securities Litigation Reform Act of 1995 and other federal securities laws and the Israeli securities law. Words such as “expects,” “anticipates,” “intends,” “plans,” “planned expenditures,” “believes,” “seeks,” “estimates,” “considers” and similar expressions or variations of such words are intended to identify forward-looking statements, but are not deemed to represent an all-inclusive means of identifying forward-looking statements as denoted in this Quarterly Report on Form 10-Q. Additionally, statements concerning future matters are forward-looking statements. We remind readers that forward-looking statements are merely predictions and therefore inherently subject to uncertainties and other factors and involve known and unknown risks that could cause the actual results, performance, levels of activity, or our achievements, or industry results, to be materially different from any future results, performance, levels of activity, or our achievements, or industry results, expressed or implied by such forward-looking statements. Such forward-looking statements include, among other statements, statements regarding the following:</w:t>
      </w:r>
    </w:p>
    <w:p>
      <w:pPr>
        <w:spacing w:after="0" w:line="188" w:lineRule="exact"/>
        <w:rPr>
          <w:sz w:val="20"/>
          <w:szCs w:val="20"/>
          <w:color w:val="auto"/>
        </w:rPr>
      </w:pPr>
    </w:p>
    <w:p>
      <w:pPr>
        <w:ind w:left="98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comprehensive analysis of data from our ORA-D-013-1 Phase 3 trial and plans to move forward with a protocol for a new Phase 3 clinical trial to be submitted to the U.S. Food and Drug Administration, or FDA;</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 to evaluate potential strategic opportunities;</w:t>
      </w:r>
    </w:p>
    <w:p>
      <w:pPr>
        <w:spacing w:after="0" w:line="225" w:lineRule="exact"/>
        <w:rPr>
          <w:rFonts w:ascii="Times New Roman" w:cs="Times New Roman" w:eastAsia="Times New Roman" w:hAnsi="Times New Roman"/>
          <w:sz w:val="18"/>
          <w:szCs w:val="18"/>
          <w:color w:val="auto"/>
        </w:rPr>
      </w:pPr>
    </w:p>
    <w:p>
      <w:pPr>
        <w:ind w:left="980" w:right="6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recover the proceeds and/or collateral under the Note (as defined herein) and related agreements from Scilex Holding Company, or Scilex;</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fluctuating market price and liquidity of the common stock of Scilex underlying the warrants we hold;</w:t>
      </w:r>
    </w:p>
    <w:p>
      <w:pPr>
        <w:spacing w:after="0" w:line="225" w:lineRule="exact"/>
        <w:rPr>
          <w:rFonts w:ascii="Times New Roman" w:cs="Times New Roman" w:eastAsia="Times New Roman" w:hAnsi="Times New Roman"/>
          <w:sz w:val="18"/>
          <w:szCs w:val="18"/>
          <w:color w:val="auto"/>
        </w:rPr>
      </w:pPr>
    </w:p>
    <w:p>
      <w:pPr>
        <w:ind w:left="980" w:right="20" w:hanging="324"/>
        <w:spacing w:after="0" w:line="266"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the anticipated benefits of the Scilex Transaction (as defined herein) are not realized when expected or at all, including as a result of the impact of, or problems arising from, the ability of Scilex to repay the Note and the ability of the Company to realize the value of the warrants;</w:t>
      </w:r>
    </w:p>
    <w:p>
      <w:pPr>
        <w:spacing w:after="0" w:line="175" w:lineRule="exact"/>
        <w:rPr>
          <w:rFonts w:ascii="Times New Roman" w:cs="Times New Roman" w:eastAsia="Times New Roman" w:hAnsi="Times New Roman"/>
          <w:sz w:val="18"/>
          <w:szCs w:val="18"/>
          <w:color w:val="auto"/>
        </w:rPr>
      </w:pPr>
    </w:p>
    <w:p>
      <w:pPr>
        <w:jc w:val="both"/>
        <w:ind w:left="980" w:right="60" w:hanging="324"/>
        <w:spacing w:after="0" w:line="266"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Oramed, Hefei Tianhui Biotech Co., Ltd., or HTIT Biotech, and Technowl Limited to reach agreement and enter into additional agreements within a three-month period of the signing of the JV Agreement (as defined herein), and the ability of the parties to succeed in the goals set out for the joint venture;</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exposure to potential litigation;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enhance value for our stockholders;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development and potential benefits from our products;</w:t>
      </w:r>
    </w:p>
    <w:p>
      <w:pPr>
        <w:spacing w:after="0" w:line="225" w:lineRule="exact"/>
        <w:rPr>
          <w:rFonts w:ascii="Times New Roman" w:cs="Times New Roman" w:eastAsia="Times New Roman" w:hAnsi="Times New Roman"/>
          <w:sz w:val="18"/>
          <w:szCs w:val="18"/>
          <w:color w:val="auto"/>
        </w:rPr>
      </w:pPr>
    </w:p>
    <w:p>
      <w:pPr>
        <w:ind w:left="980" w:right="26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prospects of entering into additional license agreements, or other partnerships or forms of cooperation with other companies or medical institutions;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milestones, conditions and royalties under our license agreements;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of the Oravax Medical Inc., or Oravax, vaccine to protect against the coronavirus, or COVID-19;</w:t>
      </w:r>
    </w:p>
    <w:p>
      <w:pPr>
        <w:spacing w:after="0" w:line="225" w:lineRule="exact"/>
        <w:rPr>
          <w:rFonts w:ascii="Times New Roman" w:cs="Times New Roman" w:eastAsia="Times New Roman" w:hAnsi="Times New Roman"/>
          <w:sz w:val="18"/>
          <w:szCs w:val="18"/>
          <w:color w:val="auto"/>
        </w:rPr>
      </w:pPr>
    </w:p>
    <w:p>
      <w:pPr>
        <w:ind w:left="980" w:right="70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research and development plans, including preclinical and clinical trials plans and the timing of enrollment, obtaining results and conclusion of trials;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 that our technology has the potential to deliver medications and vaccines orally that today can only be delivered via injection;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competitive ability of our technology based on product efficacy, safety, patient convenience, reliability, value and patent position;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market demand for our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patent protection for our intellectual property;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that our research and development expenses will continue to be our major expenditure;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short- and long-term capital requirements;</w:t>
      </w:r>
    </w:p>
    <w:p>
      <w:pPr>
        <w:spacing w:after="0" w:line="225" w:lineRule="exact"/>
        <w:rPr>
          <w:rFonts w:ascii="Times New Roman" w:cs="Times New Roman" w:eastAsia="Times New Roman" w:hAnsi="Times New Roman"/>
          <w:sz w:val="18"/>
          <w:szCs w:val="18"/>
          <w:color w:val="auto"/>
        </w:rPr>
      </w:pPr>
    </w:p>
    <w:p>
      <w:pPr>
        <w:ind w:left="980" w:right="16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outlook for the coming months and future periods, including but not limited to our expectations regarding future revenue and expenses;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any other plans and strategies for our business.</w:t>
      </w:r>
    </w:p>
    <w:p>
      <w:pPr>
        <w:spacing w:after="0" w:line="225"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17"/>
          <w:szCs w:val="17"/>
          <w:color w:val="auto"/>
        </w:rPr>
        <w:t>Although forward-looking statements in this Quarterly Report on Form 10-Q reflect the good faith judgment of our management, such statements can only be based on facts and factors currently known by us. Consequently, forward-looking statements are inherently subject to risks and uncertainties and actual results and outcomes may differ materially from the results and outcomes discussed in or anticipated by the forward-looking statements. Factors that could cause or contribute to such differences in results and outcomes include, without limitation, those specifically addressed under the heading “Item 1A. Risk Factors” in our Annual Report on Form 10-K for the fiscal year ended December 31, 2023, or our Annual Report, as filed with the Securities and Exchange Commission, or the SEC, on March 6, 2024, as well as those discussed elsewhere in our Annual Report and expressed from time to time in our other filings with the SEC. In addition, historic results of scientific research, clinical and preclinical trials do not guarantee that the conclusions of future research or trials would not suggest different conclusions. Also, historic results referred to in this Quarterly Report on Form 10-Q could be interpreted differently in light of additional research, clinical and preclinical trials results. Readers are urged not to place undue reliance on these forward-looking statements, which speak only as of the date of this Quarterly Report on Form 10-Q. Except as required by law, we undertake no obligation to revise or update any forward-looking statements in order to reflect any event or circumstance that may arise after the date of this Quarterly Report on Form 10-Q. Readers are urged to carefully review and consider the various disclosures made throughout the entirety of this Quarterly Report on Form 10-Q which attempt to advise interested parties of the risks and factors that may affect our business, financial condition, results of operations and prospects.</w:t>
      </w: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769" w:right="4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760" w:type="dxa"/>
            <w:vAlign w:val="bottom"/>
          </w:tcPr>
          <w:p>
            <w:pPr>
              <w:jc w:val="center"/>
              <w:ind w:right="2390"/>
              <w:spacing w:after="0"/>
              <w:rPr>
                <w:sz w:val="20"/>
                <w:szCs w:val="20"/>
                <w:color w:val="auto"/>
              </w:rPr>
            </w:pPr>
            <w:r>
              <w:rPr>
                <w:rFonts w:ascii="Times New Roman" w:cs="Times New Roman" w:eastAsia="Times New Roman" w:hAnsi="Times New Roman"/>
                <w:sz w:val="18"/>
                <w:szCs w:val="18"/>
                <w:b w:val="1"/>
                <w:bCs w:val="1"/>
                <w:color w:val="auto"/>
                <w:w w:val="99"/>
              </w:rPr>
              <w:t>PART I – FINANCIAL INFORMATION</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2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ITEM 1 - FINANCIAL STATEMENTS</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760" w:type="dxa"/>
            <w:vAlign w:val="bottom"/>
          </w:tcPr>
          <w:p>
            <w:pPr>
              <w:jc w:val="center"/>
              <w:ind w:right="2370"/>
              <w:spacing w:after="0"/>
              <w:rPr>
                <w:sz w:val="20"/>
                <w:szCs w:val="20"/>
                <w:color w:val="auto"/>
              </w:rPr>
            </w:pPr>
            <w:r>
              <w:rPr>
                <w:rFonts w:ascii="Times New Roman" w:cs="Times New Roman" w:eastAsia="Times New Roman" w:hAnsi="Times New Roman"/>
                <w:sz w:val="18"/>
                <w:szCs w:val="18"/>
                <w:b w:val="1"/>
                <w:bCs w:val="1"/>
                <w:color w:val="auto"/>
                <w:w w:val="99"/>
              </w:rPr>
              <w:t>ORAMED PHARMACEUTICALS INC.</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980" w:type="dxa"/>
            <w:vAlign w:val="bottom"/>
            <w:gridSpan w:val="3"/>
          </w:tcPr>
          <w:p>
            <w:pPr>
              <w:jc w:val="center"/>
              <w:ind w:right="1150"/>
              <w:spacing w:after="0"/>
              <w:rPr>
                <w:sz w:val="20"/>
                <w:szCs w:val="20"/>
                <w:color w:val="auto"/>
              </w:rPr>
            </w:pPr>
            <w:r>
              <w:rPr>
                <w:rFonts w:ascii="Times New Roman" w:cs="Times New Roman" w:eastAsia="Times New Roman" w:hAnsi="Times New Roman"/>
                <w:sz w:val="18"/>
                <w:szCs w:val="18"/>
                <w:color w:val="auto"/>
                <w:w w:val="99"/>
              </w:rPr>
              <w:t>INTERIM CONDENSED CONSOLIDATED FINANCIAL STATEMENTS</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760" w:type="dxa"/>
            <w:vAlign w:val="bottom"/>
          </w:tcPr>
          <w:p>
            <w:pPr>
              <w:jc w:val="center"/>
              <w:ind w:right="2390"/>
              <w:spacing w:after="0"/>
              <w:rPr>
                <w:sz w:val="20"/>
                <w:szCs w:val="20"/>
                <w:color w:val="auto"/>
              </w:rPr>
            </w:pPr>
            <w:r>
              <w:rPr>
                <w:rFonts w:ascii="Times New Roman" w:cs="Times New Roman" w:eastAsia="Times New Roman" w:hAnsi="Times New Roman"/>
                <w:sz w:val="18"/>
                <w:szCs w:val="18"/>
                <w:color w:val="auto"/>
                <w:w w:val="99"/>
              </w:rPr>
              <w:t>AS OF MARCH 31, 2024</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760" w:type="dxa"/>
            <w:vAlign w:val="bottom"/>
          </w:tcPr>
          <w:p>
            <w:pPr>
              <w:jc w:val="center"/>
              <w:ind w:right="239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024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FINANCIAL STATEMENTS:</w:t>
            </w:r>
          </w:p>
        </w:tc>
        <w:tc>
          <w:tcPr>
            <w:tcW w:w="10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09"/>
        </w:trPr>
        <w:tc>
          <w:tcPr>
            <w:tcW w:w="10240" w:type="dxa"/>
            <w:vAlign w:val="bottom"/>
            <w:gridSpan w:val="7"/>
            <w:vMerge w:val="continue"/>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6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0000EE"/>
            </w:tcBorders>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0000EE"/>
                <w:w w:val="97"/>
              </w:rPr>
              <w:t>Balance sheets</w:t>
            </w:r>
          </w:p>
        </w:tc>
        <w:tc>
          <w:tcPr>
            <w:tcW w:w="9000" w:type="dxa"/>
            <w:vAlign w:val="bottom"/>
            <w:tcBorders>
              <w:bottom w:val="single" w:sz="8" w:color="CCEEFF"/>
            </w:tcBorders>
            <w:gridSpan w:val="5"/>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10080" w:type="dxa"/>
            <w:vAlign w:val="bottom"/>
            <w:gridSpan w:val="6"/>
          </w:tcPr>
          <w:p>
            <w:pPr>
              <w:ind w:left="20"/>
              <w:spacing w:after="0" w:line="176" w:lineRule="exact"/>
              <w:rPr>
                <w:sz w:val="20"/>
                <w:szCs w:val="20"/>
                <w:color w:val="auto"/>
              </w:rPr>
            </w:pPr>
            <w:r>
              <w:rPr>
                <w:rFonts w:ascii="Times New Roman" w:cs="Times New Roman" w:eastAsia="Times New Roman" w:hAnsi="Times New Roman"/>
                <w:sz w:val="18"/>
                <w:szCs w:val="18"/>
                <w:color w:val="0000EE"/>
              </w:rPr>
              <w:t>Statements of comprehensive income (loss)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Borders>
              <w:bottom w:val="single" w:sz="8" w:color="CCEEFF"/>
            </w:tcBorders>
            <w:shd w:val="clear" w:color="auto" w:fill="CCEEFF"/>
          </w:tcPr>
          <w:p>
            <w:pPr>
              <w:spacing w:after="0"/>
              <w:rPr>
                <w:sz w:val="17"/>
                <w:szCs w:val="17"/>
                <w:color w:val="auto"/>
              </w:rPr>
            </w:pPr>
          </w:p>
        </w:tc>
        <w:tc>
          <w:tcPr>
            <w:tcW w:w="3320" w:type="dxa"/>
            <w:vAlign w:val="bottom"/>
            <w:tcBorders>
              <w:bottom w:val="single" w:sz="8" w:color="0000EE"/>
            </w:tcBorders>
            <w:gridSpan w:val="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9"/>
              </w:rPr>
              <w:t>Statements of changes in stockholders’ equity</w:t>
            </w:r>
          </w:p>
        </w:tc>
        <w:tc>
          <w:tcPr>
            <w:tcW w:w="67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10080" w:type="dxa"/>
            <w:vAlign w:val="bottom"/>
            <w:gridSpan w:val="6"/>
          </w:tcPr>
          <w:p>
            <w:pPr>
              <w:ind w:left="20"/>
              <w:spacing w:after="0" w:line="176" w:lineRule="exact"/>
              <w:rPr>
                <w:sz w:val="20"/>
                <w:szCs w:val="20"/>
                <w:color w:val="auto"/>
              </w:rPr>
            </w:pPr>
            <w:r>
              <w:rPr>
                <w:rFonts w:ascii="Times New Roman" w:cs="Times New Roman" w:eastAsia="Times New Roman" w:hAnsi="Times New Roman"/>
                <w:sz w:val="18"/>
                <w:szCs w:val="18"/>
                <w:color w:val="0000EE"/>
              </w:rPr>
              <w:t>Statements of cash flows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21"/>
        </w:trPr>
        <w:tc>
          <w:tcPr>
            <w:tcW w:w="16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Borders>
              <w:bottom w:val="single" w:sz="8" w:color="CCEEFF"/>
            </w:tcBorders>
            <w:shd w:val="clear" w:color="auto" w:fill="CCEEFF"/>
          </w:tcPr>
          <w:p>
            <w:pPr>
              <w:spacing w:after="0"/>
              <w:rPr>
                <w:sz w:val="17"/>
                <w:szCs w:val="17"/>
                <w:color w:val="auto"/>
              </w:rPr>
            </w:pPr>
          </w:p>
        </w:tc>
        <w:tc>
          <w:tcPr>
            <w:tcW w:w="2100" w:type="dxa"/>
            <w:vAlign w:val="bottom"/>
            <w:tcBorders>
              <w:bottom w:val="single" w:sz="8" w:color="0000EE"/>
            </w:tcBorders>
            <w:gridSpan w:val="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8"/>
              </w:rPr>
              <w:t>Notes to financial statements</w:t>
            </w:r>
          </w:p>
        </w:tc>
        <w:tc>
          <w:tcPr>
            <w:tcW w:w="7980" w:type="dxa"/>
            <w:vAlign w:val="bottom"/>
            <w:tcBorders>
              <w:bottom w:val="single" w:sz="8" w:color="CCEEFF"/>
            </w:tcBorders>
            <w:gridSpan w:val="3"/>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6-17</w:t>
            </w:r>
          </w:p>
        </w:tc>
        <w:tc>
          <w:tcPr>
            <w:tcW w:w="0" w:type="dxa"/>
            <w:vAlign w:val="bottom"/>
          </w:tcPr>
          <w:p>
            <w:pPr>
              <w:spacing w:after="0"/>
              <w:rPr>
                <w:sz w:val="1"/>
                <w:szCs w:val="1"/>
                <w:color w:val="auto"/>
              </w:rPr>
            </w:pPr>
          </w:p>
        </w:tc>
      </w:tr>
      <w:tr>
        <w:trPr>
          <w:trHeight w:val="655"/>
        </w:trPr>
        <w:tc>
          <w:tcPr>
            <w:tcW w:w="10240" w:type="dxa"/>
            <w:vAlign w:val="bottom"/>
            <w:tcBorders>
              <w:bottom w:val="single" w:sz="8" w:color="auto"/>
            </w:tcBorders>
            <w:gridSpan w:val="7"/>
          </w:tcPr>
          <w:p>
            <w:pPr>
              <w:jc w:val="center"/>
              <w:ind w:left="910"/>
              <w:spacing w:after="0"/>
              <w:rPr>
                <w:sz w:val="20"/>
                <w:szCs w:val="20"/>
                <w:color w:val="auto"/>
              </w:rPr>
            </w:pPr>
            <w:r>
              <w:rPr>
                <w:rFonts w:ascii="Times New Roman" w:cs="Times New Roman" w:eastAsia="Times New Roman" w:hAnsi="Times New Roman"/>
                <w:sz w:val="18"/>
                <w:szCs w:val="18"/>
                <w:color w:val="auto"/>
                <w:w w:val="88"/>
              </w:rPr>
              <w:t>1</w:t>
            </w: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65"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ORAMED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INTERIM 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86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18,576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9,055</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deposits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80,285</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95,279</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77,733</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57,713</w:t>
            </w: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501</w:t>
            </w:r>
          </w:p>
        </w:tc>
        <w:tc>
          <w:tcPr>
            <w:tcW w:w="240" w:type="dxa"/>
            <w:vAlign w:val="bottom"/>
          </w:tcPr>
          <w:p>
            <w:pPr>
              <w:spacing w:after="0"/>
              <w:rPr>
                <w:sz w:val="20"/>
                <w:szCs w:val="20"/>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537</w:t>
            </w:r>
          </w:p>
        </w:tc>
      </w:tr>
      <w:tr>
        <w:trPr>
          <w:trHeight w:val="223"/>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177,095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162,584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ASSETS: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deposits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19,544</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51,035</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1,807</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non-marketable equity securities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3,524</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3,524</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Amounts funded in respect of employee rights upon retirement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819</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873</w:t>
            </w: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608</w:t>
            </w:r>
          </w:p>
        </w:tc>
        <w:tc>
          <w:tcPr>
            <w:tcW w:w="240" w:type="dxa"/>
            <w:vAlign w:val="bottom"/>
          </w:tcPr>
          <w:p>
            <w:pPr>
              <w:spacing w:after="0"/>
              <w:rPr>
                <w:sz w:val="20"/>
                <w:szCs w:val="20"/>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694</w:t>
            </w: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long-term assets</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57,967</w:t>
            </w:r>
          </w:p>
        </w:tc>
        <w:tc>
          <w:tcPr>
            <w:tcW w:w="100" w:type="dxa"/>
            <w:vAlign w:val="bottom"/>
            <w:tcBorders>
              <w:top w:val="single" w:sz="8" w:color="CCEEFF"/>
              <w:bottom w:val="single" w:sz="8" w:color="CCEEFF"/>
            </w:tcBorders>
            <w:gridSpan w:val="2"/>
            <w:shd w:val="clear" w:color="auto" w:fill="CCEEFF"/>
          </w:tcPr>
          <w:p>
            <w:pPr>
              <w:spacing w:after="0"/>
              <w:rPr>
                <w:sz w:val="20"/>
                <w:szCs w:val="20"/>
                <w:color w:val="auto"/>
              </w:rPr>
            </w:pPr>
          </w:p>
        </w:tc>
      </w:tr>
      <w:tr>
        <w:trPr>
          <w:trHeight w:val="278"/>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203,652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220,551</w:t>
            </w:r>
          </w:p>
        </w:tc>
        <w:tc>
          <w:tcPr>
            <w:tcW w:w="80" w:type="dxa"/>
            <w:vAlign w:val="bottom"/>
          </w:tcPr>
          <w:p>
            <w:pPr>
              <w:spacing w:after="0"/>
              <w:rPr>
                <w:sz w:val="24"/>
                <w:szCs w:val="24"/>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1,609</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borrowings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32,034</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51,013</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Payable to related parties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325</w:t>
            </w: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254</w:t>
            </w:r>
          </w:p>
        </w:tc>
        <w:tc>
          <w:tcPr>
            <w:tcW w:w="240" w:type="dxa"/>
            <w:vAlign w:val="bottom"/>
          </w:tcPr>
          <w:p>
            <w:pPr>
              <w:spacing w:after="0"/>
              <w:rPr>
                <w:sz w:val="20"/>
                <w:szCs w:val="20"/>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267</w:t>
            </w:r>
          </w:p>
        </w:tc>
      </w:tr>
      <w:tr>
        <w:trPr>
          <w:trHeight w:val="223"/>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33,556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53,214</w:t>
            </w:r>
          </w:p>
        </w:tc>
        <w:tc>
          <w:tcPr>
            <w:tcW w:w="100" w:type="dxa"/>
            <w:vAlign w:val="bottom"/>
            <w:tcBorders>
              <w:top w:val="single" w:sz="8" w:color="CCEEFF"/>
              <w:bottom w:val="single" w:sz="8" w:color="CCEEFF"/>
            </w:tcBorders>
            <w:gridSpan w:val="2"/>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LIABILITIES: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deferred revenues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4,000</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4,000</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Employee rights upon retirement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uncertain tax position</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272</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342</w:t>
            </w: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Pr>
          <w:p>
            <w:pPr>
              <w:spacing w:after="0"/>
              <w:rPr>
                <w:sz w:val="20"/>
                <w:szCs w:val="20"/>
                <w:color w:val="auto"/>
              </w:rPr>
            </w:pPr>
          </w:p>
        </w:tc>
      </w:tr>
      <w:tr>
        <w:trPr>
          <w:trHeight w:val="223"/>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(note 3)</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 ATTRIBUTABLE TO COMPANY’S STOCKHOLDERS: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$0.012 par value (60,000,000 authorized shares; 40,519,160 and 40,338,979 shares issued and</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as of March 31, 2024 and December 31, 2023, respectively)</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487</w:t>
            </w:r>
          </w:p>
        </w:tc>
        <w:tc>
          <w:tcPr>
            <w:tcW w:w="240" w:type="dxa"/>
            <w:vAlign w:val="bottom"/>
          </w:tcPr>
          <w:p>
            <w:pPr>
              <w:spacing w:after="0"/>
              <w:rPr>
                <w:sz w:val="20"/>
                <w:szCs w:val="20"/>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485</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322,172</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320,892</w:t>
            </w:r>
          </w:p>
        </w:tc>
        <w:tc>
          <w:tcPr>
            <w:tcW w:w="80" w:type="dxa"/>
            <w:vAlign w:val="bottom"/>
            <w:shd w:val="clear" w:color="auto" w:fill="CCEEFF"/>
          </w:tcPr>
          <w:p>
            <w:pPr>
              <w:spacing w:after="0"/>
              <w:rPr>
                <w:sz w:val="18"/>
                <w:szCs w:val="18"/>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(156,020)</w:t>
            </w:r>
          </w:p>
        </w:tc>
        <w:tc>
          <w:tcPr>
            <w:tcW w:w="24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(157,556)</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166,639</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163,821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(918)</w:t>
            </w:r>
          </w:p>
        </w:tc>
        <w:tc>
          <w:tcPr>
            <w:tcW w:w="24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(928)</w:t>
            </w:r>
          </w:p>
        </w:tc>
      </w:tr>
      <w:tr>
        <w:trPr>
          <w:trHeight w:val="216"/>
        </w:trPr>
        <w:tc>
          <w:tcPr>
            <w:tcW w:w="86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equity</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165,721</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162,893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6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203,652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220,551</w:t>
            </w:r>
          </w:p>
        </w:tc>
        <w:tc>
          <w:tcPr>
            <w:tcW w:w="80" w:type="dxa"/>
            <w:vAlign w:val="bottom"/>
          </w:tcPr>
          <w:p>
            <w:pPr>
              <w:spacing w:after="0"/>
              <w:rPr>
                <w:sz w:val="22"/>
                <w:szCs w:val="22"/>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condensed consolidated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ORAMED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INTERIM 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(1,179)</w:t>
            </w:r>
          </w:p>
        </w:tc>
        <w:tc>
          <w:tcPr>
            <w:tcW w:w="20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(4,427)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SALES AND MARKETING EXPENSES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tc>
        <w:tc>
          <w:tcPr>
            <w:tcW w:w="20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(1,783)</w:t>
            </w:r>
          </w:p>
        </w:tc>
        <w:tc>
          <w:tcPr>
            <w:tcW w:w="200" w:type="dxa"/>
            <w:vAlign w:val="bottom"/>
          </w:tcPr>
          <w:p>
            <w:pPr>
              <w:spacing w:after="0"/>
              <w:rPr>
                <w:sz w:val="20"/>
                <w:szCs w:val="20"/>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(1,263)</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(5,208)</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INTEREST EXPENSES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(592)</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INCOME, NET</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5,088</w:t>
            </w:r>
          </w:p>
        </w:tc>
        <w:tc>
          <w:tcPr>
            <w:tcW w:w="2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(3,611)</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 ATTRIBUTABLE TO NON-CONTROLLING INTERESTS</w:t>
            </w:r>
          </w:p>
        </w:tc>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9"/>
                <w:szCs w:val="19"/>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 ATTRIBUTABLE TO STOCKHOLDERS</w:t>
            </w: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w:t>
            </w:r>
          </w:p>
        </w:tc>
        <w:tc>
          <w:tcPr>
            <w:tcW w:w="10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INCOME (LOSS) PER SHARE OF COMMON STOCK</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DILUTED INCOME (LOSS) PER SHARE OF COMMON STOCK</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vMerge w:val="continue"/>
          </w:tcPr>
          <w:p>
            <w:pPr>
              <w:spacing w:after="0"/>
              <w:rPr>
                <w:sz w:val="22"/>
                <w:szCs w:val="22"/>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Borders>
              <w:bottom w:val="single" w:sz="8" w:color="CCEEFF"/>
            </w:tcBorders>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8680" w:type="dxa"/>
            <w:vAlign w:val="bottom"/>
            <w:shd w:val="clear" w:color="auto" w:fill="CCEEFF"/>
          </w:tcPr>
          <w:p>
            <w:pPr>
              <w:spacing w:after="0" w:line="154" w:lineRule="exact"/>
              <w:rPr>
                <w:sz w:val="20"/>
                <w:szCs w:val="20"/>
                <w:color w:val="auto"/>
              </w:rPr>
            </w:pPr>
            <w:r>
              <w:rPr>
                <w:rFonts w:ascii="Times New Roman" w:cs="Times New Roman" w:eastAsia="Times New Roman" w:hAnsi="Times New Roman"/>
                <w:sz w:val="17"/>
                <w:szCs w:val="17"/>
                <w:b w:val="1"/>
                <w:bCs w:val="1"/>
                <w:color w:val="auto"/>
              </w:rPr>
              <w:t>WEIGHTED AVERAGE NUMBER OF SHARES OF COMMON STOCK USED IN COMPUTING BASIC</w:t>
            </w: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INCOME (LOSS) PER SHARE OF COMMON STOCK</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40,835,953</w:t>
            </w: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40,041,258</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86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NUMBER OF SHARES OF COMMON STOCK USED IN COMPUTING</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DILUTED INCOME (LOSS) PER SHARE OF COMMON STOCK</w:t>
            </w:r>
          </w:p>
        </w:tc>
        <w:tc>
          <w:tcPr>
            <w:tcW w:w="20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41,564,007</w:t>
            </w:r>
          </w:p>
        </w:tc>
        <w:tc>
          <w:tcPr>
            <w:tcW w:w="20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40,041,258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condensed consolidated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ORAMED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INTERIM 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00" w:type="dxa"/>
            <w:vAlign w:val="bottom"/>
          </w:tcPr>
          <w:p>
            <w:pPr>
              <w:spacing w:after="0"/>
              <w:rPr>
                <w:sz w:val="18"/>
                <w:szCs w:val="18"/>
                <w:color w:val="auto"/>
              </w:rPr>
            </w:pPr>
          </w:p>
        </w:tc>
        <w:tc>
          <w:tcPr>
            <w:tcW w:w="100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3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7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3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34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controlling</w:t>
            </w:r>
          </w:p>
        </w:tc>
        <w:tc>
          <w:tcPr>
            <w:tcW w:w="140" w:type="dxa"/>
            <w:vAlign w:val="bottom"/>
          </w:tcPr>
          <w:p>
            <w:pPr>
              <w:spacing w:after="0"/>
              <w:rPr>
                <w:sz w:val="22"/>
                <w:szCs w:val="22"/>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236"/>
        </w:trPr>
        <w:tc>
          <w:tcPr>
            <w:tcW w:w="3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80" w:type="dxa"/>
            <w:vAlign w:val="bottom"/>
          </w:tcPr>
          <w:p>
            <w:pPr>
              <w:spacing w:after="0"/>
              <w:rPr>
                <w:sz w:val="20"/>
                <w:szCs w:val="20"/>
                <w:color w:val="auto"/>
              </w:rPr>
            </w:pPr>
          </w:p>
        </w:tc>
        <w:tc>
          <w:tcPr>
            <w:tcW w:w="10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20"/>
                <w:szCs w:val="20"/>
                <w:color w:val="auto"/>
              </w:rPr>
            </w:pPr>
          </w:p>
        </w:tc>
        <w:tc>
          <w:tcPr>
            <w:tcW w:w="100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8"/>
              </w:rPr>
              <w:t>interests</w:t>
            </w:r>
          </w:p>
        </w:tc>
        <w:tc>
          <w:tcPr>
            <w:tcW w:w="140" w:type="dxa"/>
            <w:vAlign w:val="bottom"/>
          </w:tcPr>
          <w:p>
            <w:pPr>
              <w:spacing w:after="0"/>
              <w:rPr>
                <w:sz w:val="20"/>
                <w:szCs w:val="20"/>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2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AS OF DECEMBER 31,</w:t>
            </w: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40,339</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320,892</w:t>
            </w:r>
          </w:p>
        </w:tc>
        <w:tc>
          <w:tcPr>
            <w:tcW w:w="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(157,556)</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163,821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(928)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162,893</w:t>
            </w:r>
          </w:p>
        </w:tc>
        <w:tc>
          <w:tcPr>
            <w:tcW w:w="0" w:type="dxa"/>
            <w:vAlign w:val="bottom"/>
          </w:tcPr>
          <w:p>
            <w:pPr>
              <w:spacing w:after="0"/>
              <w:rPr>
                <w:sz w:val="1"/>
                <w:szCs w:val="1"/>
                <w:color w:val="auto"/>
              </w:rPr>
            </w:pPr>
          </w:p>
        </w:tc>
      </w:tr>
      <w:tr>
        <w:trPr>
          <w:trHeight w:val="194"/>
        </w:trPr>
        <w:tc>
          <w:tcPr>
            <w:tcW w:w="320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CHANGES DURING THE THREE</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MONTH PERIOD ENDED MARCH</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31, 2024</w:t>
            </w: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tc>
        <w:tc>
          <w:tcPr>
            <w:tcW w:w="12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180</w:t>
            </w:r>
          </w:p>
        </w:tc>
        <w:tc>
          <w:tcPr>
            <w:tcW w:w="5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1,280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1,282</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1,282</w:t>
            </w:r>
          </w:p>
        </w:tc>
        <w:tc>
          <w:tcPr>
            <w:tcW w:w="0" w:type="dxa"/>
            <w:vAlign w:val="bottom"/>
          </w:tcPr>
          <w:p>
            <w:pPr>
              <w:spacing w:after="0"/>
              <w:rPr>
                <w:sz w:val="1"/>
                <w:szCs w:val="1"/>
                <w:color w:val="auto"/>
              </w:rPr>
            </w:pPr>
          </w:p>
        </w:tc>
      </w:tr>
      <w:tr>
        <w:trPr>
          <w:trHeight w:val="194"/>
        </w:trPr>
        <w:tc>
          <w:tcPr>
            <w:tcW w:w="320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STOCK-BASED COMPENSATION OF</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0"/>
                <w:szCs w:val="20"/>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1,536</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1,536</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1,534</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2024</w:t>
            </w: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40,519</w:t>
            </w:r>
          </w:p>
        </w:tc>
        <w:tc>
          <w:tcPr>
            <w:tcW w:w="200" w:type="dxa"/>
            <w:vAlign w:val="bottom"/>
          </w:tcPr>
          <w:p>
            <w:pPr>
              <w:spacing w:after="0"/>
              <w:rPr>
                <w:sz w:val="20"/>
                <w:szCs w:val="20"/>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322,172</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(156,020</w:t>
            </w:r>
          </w:p>
        </w:tc>
        <w:tc>
          <w:tcPr>
            <w:tcW w:w="2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166,639</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220" w:type="dxa"/>
            <w:vAlign w:val="bottom"/>
            <w:vMerge w:val="continue"/>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165,721</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0"/>
        </w:trPr>
        <w:tc>
          <w:tcPr>
            <w:tcW w:w="3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00" w:type="dxa"/>
            <w:vAlign w:val="bottom"/>
          </w:tcPr>
          <w:p>
            <w:pPr>
              <w:spacing w:after="0"/>
              <w:rPr>
                <w:sz w:val="24"/>
                <w:szCs w:val="24"/>
                <w:color w:val="auto"/>
              </w:rPr>
            </w:pPr>
          </w:p>
        </w:tc>
        <w:tc>
          <w:tcPr>
            <w:tcW w:w="100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3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7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3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34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controlling</w:t>
            </w:r>
          </w:p>
        </w:tc>
        <w:tc>
          <w:tcPr>
            <w:tcW w:w="140" w:type="dxa"/>
            <w:vAlign w:val="bottom"/>
          </w:tcPr>
          <w:p>
            <w:pPr>
              <w:spacing w:after="0"/>
              <w:rPr>
                <w:sz w:val="22"/>
                <w:szCs w:val="22"/>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237"/>
        </w:trPr>
        <w:tc>
          <w:tcPr>
            <w:tcW w:w="3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80" w:type="dxa"/>
            <w:vAlign w:val="bottom"/>
          </w:tcPr>
          <w:p>
            <w:pPr>
              <w:spacing w:after="0"/>
              <w:rPr>
                <w:sz w:val="20"/>
                <w:szCs w:val="20"/>
                <w:color w:val="auto"/>
              </w:rPr>
            </w:pPr>
          </w:p>
        </w:tc>
        <w:tc>
          <w:tcPr>
            <w:tcW w:w="10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20"/>
                <w:szCs w:val="20"/>
                <w:color w:val="auto"/>
              </w:rPr>
            </w:pPr>
          </w:p>
        </w:tc>
        <w:tc>
          <w:tcPr>
            <w:tcW w:w="100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8"/>
              </w:rPr>
              <w:t>interests</w:t>
            </w:r>
          </w:p>
        </w:tc>
        <w:tc>
          <w:tcPr>
            <w:tcW w:w="140" w:type="dxa"/>
            <w:vAlign w:val="bottom"/>
          </w:tcPr>
          <w:p>
            <w:pPr>
              <w:spacing w:after="0"/>
              <w:rPr>
                <w:sz w:val="20"/>
                <w:szCs w:val="20"/>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2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AS OF DECEMBER 31,</w:t>
            </w: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39,564</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314,417</w:t>
            </w:r>
          </w:p>
        </w:tc>
        <w:tc>
          <w:tcPr>
            <w:tcW w:w="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(163,081)</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151,812</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(656)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151,156</w:t>
            </w:r>
          </w:p>
        </w:tc>
        <w:tc>
          <w:tcPr>
            <w:tcW w:w="0" w:type="dxa"/>
            <w:vAlign w:val="bottom"/>
          </w:tcPr>
          <w:p>
            <w:pPr>
              <w:spacing w:after="0"/>
              <w:rPr>
                <w:sz w:val="1"/>
                <w:szCs w:val="1"/>
                <w:color w:val="auto"/>
              </w:rPr>
            </w:pPr>
          </w:p>
        </w:tc>
      </w:tr>
      <w:tr>
        <w:trPr>
          <w:trHeight w:val="194"/>
        </w:trPr>
        <w:tc>
          <w:tcPr>
            <w:tcW w:w="320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CHANGES DURING THE THREE</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MONTH PERIOD ENDED MARCH</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31, 2023</w:t>
            </w: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2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ISSUANCE OF COMMON STOCK,</w:t>
            </w: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w:t>
            </w:r>
          </w:p>
        </w:tc>
        <w:tc>
          <w:tcPr>
            <w:tcW w:w="12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193</w:t>
            </w:r>
          </w:p>
        </w:tc>
        <w:tc>
          <w:tcPr>
            <w:tcW w:w="54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2,428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2,430</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2,430</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213</w:t>
            </w:r>
          </w:p>
        </w:tc>
        <w:tc>
          <w:tcPr>
            <w:tcW w:w="54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18"/>
                <w:szCs w:val="18"/>
                <w:color w:val="auto"/>
              </w:rPr>
            </w:pPr>
          </w:p>
        </w:tc>
        <w:tc>
          <w:tcPr>
            <w:tcW w:w="10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194"/>
        </w:trPr>
        <w:tc>
          <w:tcPr>
            <w:tcW w:w="32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STOCK-BASED COMPENSATION OF</w:t>
            </w: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12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(3,395)</w:t>
            </w:r>
          </w:p>
        </w:tc>
        <w:tc>
          <w:tcPr>
            <w:tcW w:w="1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(3,395)</w:t>
            </w:r>
          </w:p>
        </w:tc>
        <w:tc>
          <w:tcPr>
            <w:tcW w:w="100" w:type="dxa"/>
            <w:vAlign w:val="bottom"/>
          </w:tcPr>
          <w:p>
            <w:pPr>
              <w:spacing w:after="0"/>
              <w:rPr>
                <w:sz w:val="19"/>
                <w:szCs w:val="19"/>
                <w:color w:val="auto"/>
              </w:rPr>
            </w:pPr>
          </w:p>
        </w:tc>
        <w:tc>
          <w:tcPr>
            <w:tcW w:w="10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(216)</w:t>
            </w:r>
          </w:p>
        </w:tc>
        <w:tc>
          <w:tcPr>
            <w:tcW w:w="14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(3,611)</w:t>
            </w:r>
          </w:p>
        </w:tc>
        <w:tc>
          <w:tcPr>
            <w:tcW w:w="0" w:type="dxa"/>
            <w:vAlign w:val="bottom"/>
          </w:tcPr>
          <w:p>
            <w:pPr>
              <w:spacing w:after="0"/>
              <w:rPr>
                <w:sz w:val="1"/>
                <w:szCs w:val="1"/>
                <w:color w:val="auto"/>
              </w:rPr>
            </w:pPr>
          </w:p>
        </w:tc>
      </w:tr>
      <w:tr>
        <w:trPr>
          <w:trHeight w:val="27"/>
        </w:trPr>
        <w:tc>
          <w:tcPr>
            <w:tcW w:w="3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2023</w:t>
            </w:r>
          </w:p>
        </w:tc>
        <w:tc>
          <w:tcPr>
            <w:tcW w:w="80" w:type="dxa"/>
            <w:vAlign w:val="bottom"/>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39,970</w:t>
            </w: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316,965</w:t>
            </w:r>
          </w:p>
        </w:tc>
        <w:tc>
          <w:tcPr>
            <w:tcW w:w="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(166,476</w:t>
            </w:r>
          </w:p>
        </w:tc>
        <w:tc>
          <w:tcPr>
            <w:tcW w:w="22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150,970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22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150,148</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condensed consolidated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ORAMED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INTERIM 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20" w:type="dxa"/>
            <w:vAlign w:val="bottom"/>
            <w:gridSpan w:val="5"/>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1,534</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(3,611)</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Adjustments required to reconcile net income (loss) to net cash used in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56</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Exchange differences and interest on deposits and held to maturity bonds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(1,267)</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fair value of investments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(3,748)</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1,294</w:t>
            </w: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173</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 on amounts funded in respect of employee rights upon retirement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interest on short-term borrowings to maturity</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w:t>
            </w: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36</w:t>
            </w:r>
          </w:p>
        </w:tc>
        <w:tc>
          <w:tcPr>
            <w:tcW w:w="3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 accrued expenses and related parties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(666)</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changes in operating lease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revenues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Liability for employee rights upon retirement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w:t>
            </w:r>
          </w:p>
        </w:tc>
      </w:tr>
      <w:tr>
        <w:trPr>
          <w:trHeight w:val="249"/>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0"/>
        </w:trPr>
        <w:tc>
          <w:tcPr>
            <w:tcW w:w="8680" w:type="dxa"/>
            <w:vAlign w:val="bottom"/>
            <w:tcBorders>
              <w:top w:val="single" w:sz="8" w:color="CCEEFF"/>
              <w:bottom w:val="single" w:sz="8" w:color="CCEEFF"/>
            </w:tcBorders>
          </w:tcPr>
          <w:p>
            <w:pPr>
              <w:ind w:left="500"/>
              <w:spacing w:after="0" w:line="203" w:lineRule="exact"/>
              <w:rPr>
                <w:sz w:val="20"/>
                <w:szCs w:val="20"/>
                <w:color w:val="auto"/>
              </w:rPr>
            </w:pPr>
            <w:r>
              <w:rPr>
                <w:rFonts w:ascii="Times New Roman" w:cs="Times New Roman" w:eastAsia="Times New Roman" w:hAnsi="Times New Roman"/>
                <w:sz w:val="18"/>
                <w:szCs w:val="18"/>
                <w:color w:val="auto"/>
              </w:rPr>
              <w:t>Total net cash used in operating activities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(1,476</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(5,549</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short-term deposits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(4,000)</w:t>
            </w:r>
          </w:p>
        </w:tc>
        <w:tc>
          <w:tcPr>
            <w:tcW w:w="3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(19,000)</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short-term deposits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19,000</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4,500</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maturity of held to maturity securities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1,496</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long-term investments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15,000</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2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236"/>
        </w:trPr>
        <w:tc>
          <w:tcPr>
            <w:tcW w:w="868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net cash provided by (used in) investing activities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common stock, net of issuance costs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2,430</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Loans repaid</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(19,000)</w:t>
            </w: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net cash provided by (used in) financing activities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(19,000)</w:t>
            </w:r>
          </w:p>
        </w:tc>
        <w:tc>
          <w:tcPr>
            <w:tcW w:w="3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2,430</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EFFECT OF EXCHANGE RATE CHANGES ON CASH AND CASH EQUIVALENTS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873"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INCREASE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83" w:lineRule="exact"/>
        <w:rPr>
          <w:sz w:val="20"/>
          <w:szCs w:val="20"/>
          <w:color w:val="auto"/>
        </w:rPr>
      </w:pPr>
    </w:p>
    <w:p>
      <w:pPr>
        <w:ind w:right="2720"/>
        <w:spacing w:after="0" w:line="350" w:lineRule="auto"/>
        <w:rPr>
          <w:sz w:val="20"/>
          <w:szCs w:val="20"/>
          <w:color w:val="auto"/>
        </w:rPr>
      </w:pPr>
      <w:r>
        <w:rPr>
          <w:rFonts w:ascii="Times New Roman" w:cs="Times New Roman" w:eastAsia="Times New Roman" w:hAnsi="Times New Roman"/>
          <w:sz w:val="17"/>
          <w:szCs w:val="17"/>
          <w:b w:val="1"/>
          <w:bCs w:val="1"/>
          <w:color w:val="auto"/>
        </w:rPr>
        <w:t>CASH AND CASH EQUIVALENTS AT BEGINNING OF PERIOD CASH AND CASH EQUIVALENTS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32320" cy="180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9,521</w:t>
            </w:r>
          </w:p>
        </w:tc>
        <w:tc>
          <w:tcPr>
            <w:tcW w:w="32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(16,360)</w:t>
            </w:r>
          </w:p>
        </w:tc>
      </w:tr>
      <w:tr>
        <w:trPr>
          <w:trHeight w:val="427"/>
        </w:trPr>
        <w:tc>
          <w:tcPr>
            <w:tcW w:w="36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9,055</w:t>
            </w: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40,464</w:t>
            </w:r>
          </w:p>
        </w:tc>
        <w:tc>
          <w:tcPr>
            <w:tcW w:w="60" w:type="dxa"/>
            <w:vAlign w:val="bottom"/>
          </w:tcPr>
          <w:p>
            <w:pPr>
              <w:spacing w:after="0"/>
              <w:rPr>
                <w:sz w:val="24"/>
                <w:szCs w:val="24"/>
                <w:color w:val="auto"/>
              </w:rPr>
            </w:pPr>
          </w:p>
        </w:tc>
      </w:tr>
      <w:tr>
        <w:trPr>
          <w:trHeight w:val="27"/>
        </w:trPr>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18,576</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24,104</w:t>
            </w:r>
          </w:p>
        </w:tc>
        <w:tc>
          <w:tcPr>
            <w:tcW w:w="60" w:type="dxa"/>
            <w:vAlign w:val="bottom"/>
          </w:tcPr>
          <w:p>
            <w:pPr>
              <w:spacing w:after="0"/>
              <w:rPr>
                <w:sz w:val="21"/>
                <w:szCs w:val="21"/>
                <w:color w:val="auto"/>
              </w:rPr>
            </w:pPr>
          </w:p>
        </w:tc>
      </w:tr>
      <w:tr>
        <w:trPr>
          <w:trHeight w:val="20"/>
        </w:trPr>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960" w:space="720"/>
            <w:col w:w="2560"/>
          </w:cols>
          <w:pgMar w:left="320" w:top="873"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 SUPPLEMENTARY DISCLOSURE ON CASH FLOWS -</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received</w:t>
            </w: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1,341</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308</w:t>
            </w:r>
          </w:p>
        </w:tc>
      </w:tr>
      <w:tr>
        <w:trPr>
          <w:trHeight w:val="263"/>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paid</w:t>
            </w: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(571)</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condensed consolidated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ORAMED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INTERIM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GENERAL:</w:t>
      </w:r>
    </w:p>
    <w:p>
      <w:pPr>
        <w:spacing w:after="0" w:line="225" w:lineRule="exact"/>
        <w:rPr>
          <w:sz w:val="20"/>
          <w:szCs w:val="20"/>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Incorporation and Operations</w:t>
      </w:r>
    </w:p>
    <w:p>
      <w:pPr>
        <w:spacing w:after="0" w:line="229" w:lineRule="exact"/>
        <w:rPr>
          <w:rFonts w:ascii="Times New Roman" w:cs="Times New Roman" w:eastAsia="Times New Roman" w:hAnsi="Times New Roman"/>
          <w:sz w:val="18"/>
          <w:szCs w:val="18"/>
          <w:b w:val="1"/>
          <w:bCs w:val="1"/>
          <w:color w:val="auto"/>
        </w:rPr>
      </w:pPr>
    </w:p>
    <w:p>
      <w:pPr>
        <w:ind w:left="1300" w:right="4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Oramed Pharmaceuticals Inc. (collectively with its subsidiaries, the “Company”, unless the context indicates otherwise), a Delaware corporation, was incorporated on April 12, 2002.</w:t>
      </w:r>
    </w:p>
    <w:p>
      <w:pPr>
        <w:spacing w:after="0" w:line="161" w:lineRule="exact"/>
        <w:rPr>
          <w:rFonts w:ascii="Times New Roman" w:cs="Times New Roman" w:eastAsia="Times New Roman" w:hAnsi="Times New Roman"/>
          <w:sz w:val="18"/>
          <w:szCs w:val="18"/>
          <w:b w:val="1"/>
          <w:bCs w:val="1"/>
          <w:color w:val="auto"/>
        </w:rPr>
      </w:pPr>
    </w:p>
    <w:p>
      <w:pPr>
        <w:ind w:left="1300" w:right="20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March 18, 2021, the Company entered into a license agreement (the “Oravax License Agreement”) with Oravax Medical Inc. (“Oravax”) and into a stockholders agreement (the “Stockholders Agreement”) with Akers Biosciences Inc., Premas Biotech Pvt. Ltd., Cutter Mill Capital LLC and Run Ridge LLC. According to the Stockholders Agreement, Oravax issued 1,890,000 shares of its capital stock to the Company, representing 63% of the issued and outstanding share capital of Oravax as of the date of issuance. Consequently, Oramed consolidates Oravax in its consolidated financial statements since that time.</w:t>
      </w:r>
    </w:p>
    <w:p>
      <w:pPr>
        <w:spacing w:after="0" w:line="183" w:lineRule="exact"/>
        <w:rPr>
          <w:rFonts w:ascii="Times New Roman" w:cs="Times New Roman" w:eastAsia="Times New Roman" w:hAnsi="Times New Roman"/>
          <w:sz w:val="18"/>
          <w:szCs w:val="18"/>
          <w:b w:val="1"/>
          <w:bCs w:val="1"/>
          <w:color w:val="auto"/>
        </w:rPr>
      </w:pPr>
    </w:p>
    <w:p>
      <w:pPr>
        <w:ind w:left="13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November 23, 2021, Oravax incorporated a wholly-owned subsidiary in Israel, Oravax Medical Ltd., which is engaged in research and development. Effective January 1, 2022, Oravax transferred its rights and obligations under the Oravax License Agreement to Oravax Medical Ltd.</w:t>
      </w:r>
    </w:p>
    <w:p>
      <w:pPr>
        <w:spacing w:after="0" w:line="175" w:lineRule="exact"/>
        <w:rPr>
          <w:rFonts w:ascii="Times New Roman" w:cs="Times New Roman" w:eastAsia="Times New Roman" w:hAnsi="Times New Roman"/>
          <w:sz w:val="18"/>
          <w:szCs w:val="18"/>
          <w:b w:val="1"/>
          <w:bCs w:val="1"/>
          <w:color w:val="auto"/>
        </w:rPr>
      </w:pPr>
    </w:p>
    <w:p>
      <w:pPr>
        <w:ind w:left="1300" w:right="2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January 11, 2023, the Company announced that the ORA-D-013-1 Phase 3 trial did not meet its primary and secondary endpoints. As a result, the Company terminated this trial and a parallel Phase 3, ORA-D-013-2 clinical trial. As these results are considered a triggering event, the Company evaluated all of its long lived assets which include fixed assets and operating lease right-of-use assets in the first quarter of 2023 and concluded that no impairment was required. The Company completed an analysis of the data from the ORA-D-013-1 Phase 3 trial and found that subpopulations of patients with pooled specific parameters, such as body mass index (BMI), baseline HbA1c, age, gender and body weight, responded well to oral insulin. These subsets exhibited an over 1% placebo adjusted, statistically significant, reduction in HbA1c. Based on this analysis, the Company is working on a protocol for a new Phase 3 clinical trial to be submitted to the FDA.</w:t>
      </w:r>
    </w:p>
    <w:p>
      <w:pPr>
        <w:spacing w:after="0" w:line="191" w:lineRule="exact"/>
        <w:rPr>
          <w:rFonts w:ascii="Times New Roman" w:cs="Times New Roman" w:eastAsia="Times New Roman" w:hAnsi="Times New Roman"/>
          <w:sz w:val="18"/>
          <w:szCs w:val="18"/>
          <w:b w:val="1"/>
          <w:bCs w:val="1"/>
          <w:color w:val="auto"/>
        </w:rPr>
      </w:pPr>
    </w:p>
    <w:p>
      <w:pPr>
        <w:ind w:left="1300" w:right="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January 22, 2024, the Company and its wholly-owned subsidiary, Oramed Ltd., entered into a joint venture agreement (the “JV Agreement”), with Hefei Tianhui Biotech Co., Ltd. (“HTIT Biotech”) and Technowl Limited, a wholly-owned indirect subsidiary of HTIT Biotech (“HTIT Sub” and together with HTIT Biotech, “HTIT”), pursuant to which, subject to the terms and conditions set forth in the JV Agreement, the parties will establish a joint venture (the “JV”), based on the Company’s oral drug delivery technology.</w:t>
      </w:r>
    </w:p>
    <w:p>
      <w:pPr>
        <w:spacing w:after="0" w:line="179" w:lineRule="exact"/>
        <w:rPr>
          <w:rFonts w:ascii="Times New Roman" w:cs="Times New Roman" w:eastAsia="Times New Roman" w:hAnsi="Times New Roman"/>
          <w:sz w:val="18"/>
          <w:szCs w:val="18"/>
          <w:b w:val="1"/>
          <w:bCs w:val="1"/>
          <w:color w:val="auto"/>
        </w:rPr>
      </w:pPr>
    </w:p>
    <w:p>
      <w:pPr>
        <w:jc w:val="both"/>
        <w:ind w:left="1300" w:right="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JV will focus on the development and worldwide commercialization of innovative products based on the Company’s oral insulin and POD™ (Protein Oral Delivery) pipeline and HTIT’s manufacturing capabilities and technologies. The parties intend for the JV to use the protocol the Company is currently working on to initiate a Phase 3 oral insulin trial in the United States.</w:t>
      </w:r>
    </w:p>
    <w:p>
      <w:pPr>
        <w:spacing w:after="0" w:line="175" w:lineRule="exact"/>
        <w:rPr>
          <w:rFonts w:ascii="Times New Roman" w:cs="Times New Roman" w:eastAsia="Times New Roman" w:hAnsi="Times New Roman"/>
          <w:sz w:val="18"/>
          <w:szCs w:val="18"/>
          <w:b w:val="1"/>
          <w:bCs w:val="1"/>
          <w:color w:val="auto"/>
        </w:rPr>
      </w:pPr>
    </w:p>
    <w:p>
      <w:pPr>
        <w:ind w:left="130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and HTIT will initially hold equal shares in the JV, with each owning 50% of the equity. The board of directors will initially consist of equal representation from HTIT and the Company. HTIT will contribute to the JV $70,000 in cash, while the Company will contribute $20,000 (comprised of $10,000 in cash and $10,000 in shares of the Company’s common stock that will be subject to certain registration rights) and will transfer intellectual property related to its oral insulin and POD™ technology, as well as other assets in the Company’s pipeline. HTIT will have an option to invest additional funds into the JV up to an aggregate amount of $20,000, thereby increasing its equity holdings and granting the right to increase its board representation. The Company will be entitled to receive a 3% royalty on gross revenues of the JV generated from Company-related assets.</w:t>
      </w:r>
    </w:p>
    <w:p>
      <w:pPr>
        <w:spacing w:after="0" w:line="188" w:lineRule="exact"/>
        <w:rPr>
          <w:rFonts w:ascii="Times New Roman" w:cs="Times New Roman" w:eastAsia="Times New Roman" w:hAnsi="Times New Roman"/>
          <w:sz w:val="18"/>
          <w:szCs w:val="18"/>
          <w:b w:val="1"/>
          <w:bCs w:val="1"/>
          <w:color w:val="auto"/>
        </w:rPr>
      </w:pPr>
    </w:p>
    <w:p>
      <w:pPr>
        <w:ind w:left="130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consummation of the JV Agreement is subject to and contingent upon the parties entering into additional agreements within a three-month period from the signature of the JV Agreement, including an asset transfer agreement for the transfer of the Company’s intellectual property to the JV, a commercial supply agreement for the manufacture and supply of products by HTIT to the JV, as well as other documents and agreements to regulate the relationship of the parties and the JV to be formed pursuant to the JV Agreement. There is no assurance that the parties will complete and sign these additional agreements within the agreed timeline or at all. If such agreements are not signed within the agreed timeframe, then either party may apply a 30-day extension, after which the JV Agreement may be terminated and voided by either party. The 30-day extension was applied by the Company on April 18, 2024 and will last until May 22, 2024. Thereafter, the consummation of the JV transaction is further subject to the satisfaction or waiver of certain other closing conditions within a three-month period following the completion of the aforesaid ancillary agreements. If the closing conditions are not met within the agreed timeframe, then either party may apply a 30-day extension, after which the JV Agreement may be terminated and voided by either party. In addition, completion of the transactions contemplated under the JV Agreement is subject to the satisfaction or waiver of customary and certain other closing conditions.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 w:name="page11"/>
    <w:bookmarkEnd w:id="1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ORAMED PHARMACEUTICALS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NOTES TO INTERIM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1 - GENERAL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1300" w:hanging="320"/>
        <w:spacing w:after="0"/>
        <w:tabs>
          <w:tab w:leader="none" w:pos="13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Development and Liquidity Risks</w:t>
      </w:r>
    </w:p>
    <w:p>
      <w:pPr>
        <w:spacing w:after="0" w:line="229" w:lineRule="exact"/>
        <w:rPr>
          <w:rFonts w:ascii="Times New Roman" w:cs="Times New Roman" w:eastAsia="Times New Roman" w:hAnsi="Times New Roman"/>
          <w:sz w:val="18"/>
          <w:szCs w:val="18"/>
          <w:b w:val="1"/>
          <w:bCs w:val="1"/>
          <w:color w:val="auto"/>
        </w:rPr>
      </w:pPr>
    </w:p>
    <w:p>
      <w:pPr>
        <w:ind w:left="1300" w:right="10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engaged in research and development in the biotechnology field for innovative pharmaceutical solutions, including an orally ingestible insulin capsule to be used for the treatment of individuals with diabetes, and the use of orally ingestible capsules for delivery of other polypeptides, and has not generated significant revenues from its operations. Following the termination of the ORA-D-013-1 and ORA-D-013-2 Phase 3 trials, the Company’s research and development activities have been significantly reduced while it conducts a strategic review process. As a result, the Company is currently incurring lower research and development and sales and marketing expenses.</w:t>
      </w:r>
    </w:p>
    <w:p>
      <w:pPr>
        <w:spacing w:after="0" w:line="187" w:lineRule="exact"/>
        <w:rPr>
          <w:rFonts w:ascii="Times New Roman" w:cs="Times New Roman" w:eastAsia="Times New Roman" w:hAnsi="Times New Roman"/>
          <w:sz w:val="18"/>
          <w:szCs w:val="18"/>
          <w:b w:val="1"/>
          <w:bCs w:val="1"/>
          <w:color w:val="auto"/>
        </w:rPr>
      </w:pPr>
    </w:p>
    <w:p>
      <w:pPr>
        <w:ind w:left="1300" w:right="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Based on the Company’s current cash resources and commitments, the Company believes it will be able to maintain its current planned activities and the corresponding level of expenditures for at least the next 12 months, although no assurance can be given that the Company will not need additional funds prior to such time. If there are unexpected increases in its operating expenses, the Company may need to seek additional financing during the next 12 months. The Company may also need additional funds to realize the decisions made as part of its strategic review process. The Company cannot predict the outcome of these activities.</w:t>
      </w:r>
    </w:p>
    <w:p>
      <w:pPr>
        <w:spacing w:after="0" w:line="183" w:lineRule="exact"/>
        <w:rPr>
          <w:rFonts w:ascii="Times New Roman" w:cs="Times New Roman" w:eastAsia="Times New Roman" w:hAnsi="Times New Roman"/>
          <w:sz w:val="18"/>
          <w:szCs w:val="18"/>
          <w:b w:val="1"/>
          <w:bCs w:val="1"/>
          <w:color w:val="auto"/>
        </w:rPr>
      </w:pPr>
    </w:p>
    <w:p>
      <w:pPr>
        <w:ind w:left="13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August 7, 2023, the Company entered into a Stock Purchase Agreement, as subsequently amended on August 9, 2023 and August 21, 2023, (the “Sorrento SPA”), with Sorrento Therapeutics, Inc. (“Sorrento”), to acquire certain equity securities of Scilex Holding Company (“Scilex”), owned by Sorrento (the “Purchased Securities”), for a purchase price of $105,000. Sorrento and its affiliated debtor, Scintilla Pharmaceuticals, Inc. (“Scintilla” and together with Sorrento, the “Debtors”) are in Chapter 11 bankruptcy proceedings.</w:t>
      </w:r>
    </w:p>
    <w:p>
      <w:pPr>
        <w:spacing w:after="0" w:line="179" w:lineRule="exact"/>
        <w:rPr>
          <w:rFonts w:ascii="Times New Roman" w:cs="Times New Roman" w:eastAsia="Times New Roman" w:hAnsi="Times New Roman"/>
          <w:sz w:val="18"/>
          <w:szCs w:val="18"/>
          <w:b w:val="1"/>
          <w:bCs w:val="1"/>
          <w:color w:val="auto"/>
        </w:rPr>
      </w:pPr>
    </w:p>
    <w:p>
      <w:pPr>
        <w:ind w:left="1300" w:right="10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August 9, 2023, the Company entered into a Senior Secured, Super-Priority Debtor-in-Possession Loan and Security Agreement (the “Senior DIP Loan Agreement”) with the Debtors in the principal amount of $100,000, which included a non-refundable closing fee of $450 paid in full out of the proceeds. This amount was subsequently drawn in full by the Debtors and was intended to be used by the Company as a credit for the consideration for the Purchased Securities, with an additional $5,000 in cash to be paid by the Company at closing. Thereafter, the Company and Sorrento continued discussions and negotiations relating to the sale contemplated under the Sorrento SPA.</w:t>
      </w:r>
    </w:p>
    <w:p>
      <w:pPr>
        <w:spacing w:after="0" w:line="187" w:lineRule="exact"/>
        <w:rPr>
          <w:rFonts w:ascii="Times New Roman" w:cs="Times New Roman" w:eastAsia="Times New Roman" w:hAnsi="Times New Roman"/>
          <w:sz w:val="18"/>
          <w:szCs w:val="18"/>
          <w:b w:val="1"/>
          <w:bCs w:val="1"/>
          <w:color w:val="auto"/>
        </w:rPr>
      </w:pPr>
    </w:p>
    <w:p>
      <w:pPr>
        <w:ind w:left="1300" w:right="80"/>
        <w:spacing w:after="0" w:line="27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On September 21, 2023, the Company entered into and consummated the transactions contemplated by a Securities Purchase Agreement (the “Scilex SPA”) with Scilex and Acquiom Agency Services LLC. Pursuant to the Scilex SPA, in exchange for Scilex assuming outstanding obligations of Sorrento under the Senior DIP Loan Agreement (the “DIP Assumption”) and for the ability to credit the amounts assumed under the DIP Assumption in exchange for certain equity securities of Scilex owned by Sorrento, Scilex (i) issued to the Company (A) a Senior Secured Promissory Note due 18 months from the date of issuance in the principal amount of $101,875 (the “Note”), which includes accrued and unpaid interest of $875 under the Senior DIP Loan Agreement and $1,000 of fees added to the principal amount of the Note, (B) the Closing Penny Warrant (as defined herein), and (C) the Subsequent Penny Warrants (as defined herein), and (ii) caused the Transferred Warrants (as defined herein) to be transferred to the Company. For further details, see note 7.</w:t>
      </w:r>
    </w:p>
    <w:p>
      <w:pPr>
        <w:spacing w:after="0" w:line="171" w:lineRule="exact"/>
        <w:rPr>
          <w:rFonts w:ascii="Times New Roman" w:cs="Times New Roman" w:eastAsia="Times New Roman" w:hAnsi="Times New Roman"/>
          <w:sz w:val="18"/>
          <w:szCs w:val="18"/>
          <w:b w:val="1"/>
          <w:bCs w:val="1"/>
          <w:color w:val="auto"/>
        </w:rPr>
      </w:pPr>
    </w:p>
    <w:p>
      <w:pPr>
        <w:ind w:left="1300" w:right="3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August 8, 2023, the Company borrowed an aggregate of $99,550 pursuant to loan agreements from Israel Discount Bank Ltd. For further details, see note 6.</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ORAMED PHARMACEUTICALS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INTERIM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w:t>
      </w:r>
    </w:p>
    <w:p>
      <w:pPr>
        <w:spacing w:after="0" w:line="225" w:lineRule="exact"/>
        <w:rPr>
          <w:sz w:val="20"/>
          <w:szCs w:val="20"/>
          <w:color w:val="auto"/>
        </w:rPr>
      </w:pPr>
    </w:p>
    <w:p>
      <w:pPr>
        <w:ind w:left="1300" w:hanging="320"/>
        <w:spacing w:after="0"/>
        <w:tabs>
          <w:tab w:leader="none" w:pos="13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Condensed consolidated financial statements preparation</w:t>
      </w:r>
    </w:p>
    <w:p>
      <w:pPr>
        <w:spacing w:after="0" w:line="229" w:lineRule="exact"/>
        <w:rPr>
          <w:rFonts w:ascii="Times New Roman" w:cs="Times New Roman" w:eastAsia="Times New Roman" w:hAnsi="Times New Roman"/>
          <w:sz w:val="18"/>
          <w:szCs w:val="18"/>
          <w:b w:val="1"/>
          <w:bCs w:val="1"/>
          <w:color w:val="auto"/>
        </w:rPr>
      </w:pPr>
    </w:p>
    <w:p>
      <w:pPr>
        <w:ind w:left="130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condensed consolidated financial statements included herein have been prepared in accordance with United States generally accepted accounting principles (“U.S. GAAP”) and, on the same basis as the audited consolidated financial statements included in the Company’s Annual Report on Form 10-K for the fiscal year ended December 31, 2023 (the “2023 Form 10-K”). These condensed consolidated financial statements reflect all adjustments that are of a normal recurring nature and that are considered necessary for a fair statement of the results of the periods presented. Certain information and disclosures normally included in annual consolidated financial statements have been omitted in this interim period report pursuant to the rules and regulations of the Securities and Exchange Commission. Because the condensed consolidated interim financial statements do not include all of the information and disclosures required by U.S. GAAP for annual financial statements, they should be read in conjunction with the audited consolidated financial statements and notes included in the 2023 Form 10-K. The results for interim periods are not necessarily indicative of a full fiscal year’s results.</w:t>
      </w:r>
    </w:p>
    <w:p>
      <w:pPr>
        <w:spacing w:after="0" w:line="184" w:lineRule="exact"/>
        <w:rPr>
          <w:rFonts w:ascii="Times New Roman" w:cs="Times New Roman" w:eastAsia="Times New Roman" w:hAnsi="Times New Roman"/>
          <w:sz w:val="18"/>
          <w:szCs w:val="18"/>
          <w:b w:val="1"/>
          <w:bCs w:val="1"/>
          <w:color w:val="auto"/>
        </w:rPr>
      </w:pPr>
    </w:p>
    <w:p>
      <w:pPr>
        <w:ind w:left="1300" w:hanging="320"/>
        <w:spacing w:after="0"/>
        <w:tabs>
          <w:tab w:leader="none" w:pos="13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(loss) per common share</w:t>
      </w:r>
    </w:p>
    <w:p>
      <w:pPr>
        <w:spacing w:after="0" w:line="229" w:lineRule="exact"/>
        <w:rPr>
          <w:rFonts w:ascii="Times New Roman" w:cs="Times New Roman" w:eastAsia="Times New Roman" w:hAnsi="Times New Roman"/>
          <w:sz w:val="18"/>
          <w:szCs w:val="18"/>
          <w:b w:val="1"/>
          <w:bCs w:val="1"/>
          <w:color w:val="auto"/>
        </w:rPr>
      </w:pPr>
    </w:p>
    <w:p>
      <w:pPr>
        <w:ind w:left="1300" w:right="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net earnings (loss) per common share are computed by dividing the net earnings (loss) attributable to stockholders for the period by the weighted average number of shares of common stock outstanding for each period, including vested restricted stock units (“RSUs”). Outstanding stock options, warrants and RSUs have been excluded from the calculation of the diluted loss per share because all such securities are anti-dilutive for the three month period ended March 31, 2023.</w:t>
      </w:r>
    </w:p>
    <w:p>
      <w:pPr>
        <w:spacing w:after="0" w:line="179" w:lineRule="exact"/>
        <w:rPr>
          <w:rFonts w:ascii="Times New Roman" w:cs="Times New Roman" w:eastAsia="Times New Roman" w:hAnsi="Times New Roman"/>
          <w:sz w:val="18"/>
          <w:szCs w:val="18"/>
          <w:b w:val="1"/>
          <w:bCs w:val="1"/>
          <w:color w:val="auto"/>
        </w:rPr>
      </w:pPr>
    </w:p>
    <w:p>
      <w:pPr>
        <w:ind w:left="1300" w:right="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the diluted earnings per share calculation for the three month period ended March 31, 2024, the weighted average number of shares outstanding during the three month period ended March 31, 2024 is adjusted for the potential dilution that could occur in connection with employee share-based payment, using the treasury stock method.</w:t>
      </w:r>
    </w:p>
    <w:p>
      <w:pPr>
        <w:spacing w:after="0" w:line="175" w:lineRule="exact"/>
        <w:rPr>
          <w:rFonts w:ascii="Times New Roman" w:cs="Times New Roman" w:eastAsia="Times New Roman" w:hAnsi="Times New Roman"/>
          <w:sz w:val="18"/>
          <w:szCs w:val="18"/>
          <w:b w:val="1"/>
          <w:bCs w:val="1"/>
          <w:color w:val="auto"/>
        </w:rPr>
      </w:pPr>
    </w:p>
    <w:p>
      <w:pPr>
        <w:ind w:left="1300" w:right="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weighted average number of stock options, warrants and RSUs that has been excluded from the calculation of the diluted income per share as of March 31, 2024 was 4,846,474 shares.</w:t>
      </w:r>
    </w:p>
    <w:p>
      <w:pPr>
        <w:spacing w:after="0" w:line="161" w:lineRule="exact"/>
        <w:rPr>
          <w:rFonts w:ascii="Times New Roman" w:cs="Times New Roman" w:eastAsia="Times New Roman" w:hAnsi="Times New Roman"/>
          <w:sz w:val="18"/>
          <w:szCs w:val="18"/>
          <w:b w:val="1"/>
          <w:bCs w:val="1"/>
          <w:color w:val="auto"/>
        </w:rPr>
      </w:pPr>
    </w:p>
    <w:p>
      <w:pPr>
        <w:ind w:left="1300" w:right="2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weighted average number of stock options, warrants and RSUs excluded from the calculation of diluted net loss was 3,357,911 for the three month period ended March 31, 2023.</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ORAMED PHARMACEUTICALS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INTERIM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 SIGNIFICANT ACCOUNTING POLICIES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Recently issued accounting pronouncements, not yet adopted</w:t>
      </w:r>
    </w:p>
    <w:p>
      <w:pPr>
        <w:spacing w:after="0" w:line="229" w:lineRule="exact"/>
        <w:rPr>
          <w:rFonts w:ascii="Times New Roman" w:cs="Times New Roman" w:eastAsia="Times New Roman" w:hAnsi="Times New Roman"/>
          <w:sz w:val="18"/>
          <w:szCs w:val="18"/>
          <w:b w:val="1"/>
          <w:bCs w:val="1"/>
          <w:color w:val="auto"/>
        </w:rPr>
      </w:pPr>
    </w:p>
    <w:p>
      <w:pPr>
        <w:ind w:left="1300" w:right="2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November 2023, the Financial Accounting Standard Board (the “FASB”) issued Accounting Standards Update (“ASU”) 2023-07 “Segment Reporting: Improvements to Reportable Segment Disclosures.” This guidance expands public entities’ segment disclosures primarily by requiring disclosure of significant segment expenses that are regularly provided to the chief operating decision maker and included within each reported measure of segment profit or loss, an amount and description of its composition for other segment items, and interim disclosures of a reportable segment’s profit or loss and assets. Public entities with a single reportable segment are required to provide the new disclosures and all the disclosures required under ASC 280 “Segment Reporting”. The guidance is effective for fiscal years beginning after December 15, 2023, and interim periods within fiscal years beginning after December 15, 2024, with early adoption permitted. The amendments are required to be applied retrospectively to all prior periods presented in an entity’s financial statements. The Company is currently evaluating this guidance to determine the impact it may have on its consolidated financial statements related disclosures.</w:t>
      </w:r>
    </w:p>
    <w:p>
      <w:pPr>
        <w:spacing w:after="0" w:line="194" w:lineRule="exact"/>
        <w:rPr>
          <w:rFonts w:ascii="Times New Roman" w:cs="Times New Roman" w:eastAsia="Times New Roman" w:hAnsi="Times New Roman"/>
          <w:sz w:val="18"/>
          <w:szCs w:val="18"/>
          <w:b w:val="1"/>
          <w:bCs w:val="1"/>
          <w:color w:val="auto"/>
        </w:rPr>
      </w:pPr>
    </w:p>
    <w:p>
      <w:pPr>
        <w:ind w:left="1300" w:right="8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This guidance is intended to enhance the transparency and decision-usefulness of income tax disclosures. The amendments in ASU 2023-09 address investor requests for enhanced income tax information primarily through changes to disclosure regarding rate reconciliation and income taxes paid both in the U.S. and in foreign jurisdictions. ASU 2023-09 is effective for fiscal years beginning after December 15, 2024 on a prospective basis, with the option to apply the standard retrospectively. Early adoption is permitted. The Company is currently evaluating this guidance to determine the impact it may have on its consolidated financial statements disclosures.</w:t>
      </w:r>
    </w:p>
    <w:p>
      <w:pPr>
        <w:spacing w:after="0" w:line="183" w:lineRule="exact"/>
        <w:rPr>
          <w:rFonts w:ascii="Times New Roman" w:cs="Times New Roman" w:eastAsia="Times New Roman" w:hAnsi="Times New Roman"/>
          <w:sz w:val="18"/>
          <w:szCs w:val="18"/>
          <w:b w:val="1"/>
          <w:bCs w:val="1"/>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w:t>
      </w:r>
    </w:p>
    <w:p>
      <w:pPr>
        <w:spacing w:after="0" w:line="229" w:lineRule="exact"/>
        <w:rPr>
          <w:rFonts w:ascii="Times New Roman" w:cs="Times New Roman" w:eastAsia="Times New Roman" w:hAnsi="Times New Roman"/>
          <w:sz w:val="18"/>
          <w:szCs w:val="18"/>
          <w:b w:val="1"/>
          <w:bCs w:val="1"/>
          <w:color w:val="auto"/>
        </w:rPr>
      </w:pPr>
    </w:p>
    <w:p>
      <w:pPr>
        <w:ind w:left="1300" w:right="2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measures fair value and discloses fair value measurements for financial assets and liabilities. Fair value is based on the price that would be received to sell an asset or paid to transfer a liability in an orderly transaction between market participants at the measurement date. In order to increase consistency and comparability in fair value measurements, the guidance establishes a fair value hierarchy that prioritizes observable and unobservable inputs used to measure fair value into three broad levels, which are described as follows:</w:t>
      </w:r>
    </w:p>
    <w:p>
      <w:pPr>
        <w:spacing w:after="0" w:line="183" w:lineRule="exact"/>
        <w:rPr>
          <w:rFonts w:ascii="Times New Roman" w:cs="Times New Roman" w:eastAsia="Times New Roman" w:hAnsi="Times New Roman"/>
          <w:sz w:val="18"/>
          <w:szCs w:val="18"/>
          <w:b w:val="1"/>
          <w:bCs w:val="1"/>
          <w:color w:val="auto"/>
        </w:rPr>
      </w:pPr>
    </w:p>
    <w:p>
      <w:pPr>
        <w:ind w:left="1960" w:right="20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Level 1: Quoted prices (unadjusted) in active markets that are accessible at the measurement date for assets or liabilities. The fair value hierarchy gives the highest priority to Level 1 inputs.</w:t>
      </w:r>
    </w:p>
    <w:p>
      <w:pPr>
        <w:spacing w:after="0" w:line="161" w:lineRule="exact"/>
        <w:rPr>
          <w:rFonts w:ascii="Times New Roman" w:cs="Times New Roman" w:eastAsia="Times New Roman" w:hAnsi="Times New Roman"/>
          <w:sz w:val="18"/>
          <w:szCs w:val="18"/>
          <w:b w:val="1"/>
          <w:bCs w:val="1"/>
          <w:color w:val="auto"/>
        </w:rPr>
      </w:pPr>
    </w:p>
    <w:p>
      <w:pPr>
        <w:ind w:left="1960" w:right="2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Level 2: Observable prices that are based on inputs other than quoted prices included within Level 1 that are observable for the asset or liability, either directly or indirectly.</w:t>
      </w:r>
    </w:p>
    <w:p>
      <w:pPr>
        <w:spacing w:after="0" w:line="161" w:lineRule="exact"/>
        <w:rPr>
          <w:rFonts w:ascii="Times New Roman" w:cs="Times New Roman" w:eastAsia="Times New Roman" w:hAnsi="Times New Roman"/>
          <w:sz w:val="18"/>
          <w:szCs w:val="18"/>
          <w:b w:val="1"/>
          <w:bCs w:val="1"/>
          <w:color w:val="auto"/>
        </w:rPr>
      </w:pPr>
    </w:p>
    <w:p>
      <w:pPr>
        <w:ind w:left="1960" w:right="38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Level 3: Unobservable inputs are used when little or no market data is available. The fair value hierarchy gives the lowest priority to Level 3 inputs.</w:t>
      </w:r>
    </w:p>
    <w:p>
      <w:pPr>
        <w:spacing w:after="0" w:line="161" w:lineRule="exact"/>
        <w:rPr>
          <w:rFonts w:ascii="Times New Roman" w:cs="Times New Roman" w:eastAsia="Times New Roman" w:hAnsi="Times New Roman"/>
          <w:sz w:val="18"/>
          <w:szCs w:val="18"/>
          <w:b w:val="1"/>
          <w:bCs w:val="1"/>
          <w:color w:val="auto"/>
        </w:rPr>
      </w:pPr>
    </w:p>
    <w:p>
      <w:pPr>
        <w:ind w:left="13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March 31, 2024, the fair value of marketable equity securities as presented in note 4 and of the Transferred Warrants included in the Scilex SPA as presented in note 7 were based on a Level 1 measurement. The fair value of the Closing Penny Warrant as presented in note 7 were based on a Level 2 measurement. The fair value of the investment in non-marketable equity securities as presented in note 5, of the Subsequent Penny Warrants as presented in note 7 and of the Note as presented in note 7 were based on a Level 3 measurement.</w:t>
      </w:r>
    </w:p>
    <w:p>
      <w:pPr>
        <w:spacing w:after="0" w:line="179" w:lineRule="exact"/>
        <w:rPr>
          <w:rFonts w:ascii="Times New Roman" w:cs="Times New Roman" w:eastAsia="Times New Roman" w:hAnsi="Times New Roman"/>
          <w:sz w:val="18"/>
          <w:szCs w:val="18"/>
          <w:b w:val="1"/>
          <w:bCs w:val="1"/>
          <w:color w:val="auto"/>
        </w:rPr>
      </w:pPr>
    </w:p>
    <w:p>
      <w:pPr>
        <w:ind w:left="1300" w:righ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March 31, 2024, the carrying amounts of cash equivalents, short-term deposits, Short-Term Borrowings (as defined herein) and accounts payable approximate their fair values due to the short-term maturities of these instruments.</w:t>
      </w:r>
    </w:p>
    <w:p>
      <w:pPr>
        <w:spacing w:after="0" w:line="161" w:lineRule="exact"/>
        <w:rPr>
          <w:rFonts w:ascii="Times New Roman" w:cs="Times New Roman" w:eastAsia="Times New Roman" w:hAnsi="Times New Roman"/>
          <w:sz w:val="18"/>
          <w:szCs w:val="18"/>
          <w:b w:val="1"/>
          <w:bCs w:val="1"/>
          <w:color w:val="auto"/>
        </w:rPr>
      </w:pPr>
    </w:p>
    <w:p>
      <w:pPr>
        <w:ind w:left="13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amounts funded in respect of employee rights are stated at cash surrender value which approximates its fair value.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 w:name="page14"/>
    <w:bookmarkEnd w:id="1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ORAMED PHARMACEUTICALS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NOTES TO INTERIM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COMMITMENTS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Medicox License Agreement</w:t>
      </w:r>
    </w:p>
    <w:p>
      <w:pPr>
        <w:spacing w:after="0" w:line="229" w:lineRule="exact"/>
        <w:rPr>
          <w:rFonts w:ascii="Times New Roman" w:cs="Times New Roman" w:eastAsia="Times New Roman" w:hAnsi="Times New Roman"/>
          <w:sz w:val="18"/>
          <w:szCs w:val="18"/>
          <w:b w:val="1"/>
          <w:bCs w:val="1"/>
          <w:color w:val="auto"/>
        </w:rPr>
      </w:pPr>
    </w:p>
    <w:p>
      <w:pPr>
        <w:ind w:left="1300" w:right="1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November 13, 2022, the Company entered into a distribution license agreement (“Medicox License Agreement”) with Medicox Co., Ltd. (“Medicox”).</w:t>
      </w:r>
    </w:p>
    <w:p>
      <w:pPr>
        <w:spacing w:after="0" w:line="161" w:lineRule="exact"/>
        <w:rPr>
          <w:rFonts w:ascii="Times New Roman" w:cs="Times New Roman" w:eastAsia="Times New Roman" w:hAnsi="Times New Roman"/>
          <w:sz w:val="18"/>
          <w:szCs w:val="18"/>
          <w:b w:val="1"/>
          <w:bCs w:val="1"/>
          <w:color w:val="auto"/>
        </w:rPr>
      </w:pPr>
    </w:p>
    <w:p>
      <w:pPr>
        <w:ind w:left="130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Medicox License Agreement grants Medicox an exclusive license to apply for regulatory approval and distribute ORMD-0801 in the Republic of Korea. The Medicox License Agreement is for ten years, but the parties have the right to terminate it upon 180 days’ notice.</w:t>
      </w:r>
    </w:p>
    <w:p>
      <w:pPr>
        <w:spacing w:after="0" w:line="161" w:lineRule="exact"/>
        <w:rPr>
          <w:rFonts w:ascii="Times New Roman" w:cs="Times New Roman" w:eastAsia="Times New Roman" w:hAnsi="Times New Roman"/>
          <w:sz w:val="18"/>
          <w:szCs w:val="18"/>
          <w:b w:val="1"/>
          <w:bCs w:val="1"/>
          <w:color w:val="auto"/>
        </w:rPr>
      </w:pPr>
    </w:p>
    <w:p>
      <w:pPr>
        <w:ind w:left="1300" w:right="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Medicox will comply with agreed distribution targets and will purchase ORMD-0801 at an agreed upon transfer price per capsule. In addition, Medicox will pay the Company up to $15,000 in developmental milestones, $2,000 of which have already been received by the Company, and up to 15% royalties on gross sales. Medicox will also be responsible for obtaining a regulatory approval in the Republic of Korea.</w:t>
      </w:r>
    </w:p>
    <w:p>
      <w:pPr>
        <w:spacing w:after="0" w:line="179" w:lineRule="exact"/>
        <w:rPr>
          <w:rFonts w:ascii="Times New Roman" w:cs="Times New Roman" w:eastAsia="Times New Roman" w:hAnsi="Times New Roman"/>
          <w:sz w:val="18"/>
          <w:szCs w:val="18"/>
          <w:b w:val="1"/>
          <w:bCs w:val="1"/>
          <w:color w:val="auto"/>
        </w:rPr>
      </w:pPr>
    </w:p>
    <w:p>
      <w:pPr>
        <w:ind w:left="13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currently evaluating with Medicox a path forward to continue its collaboration, following the results of the ORA-D-013-1 Phase 3 trial.</w:t>
      </w:r>
    </w:p>
    <w:p>
      <w:pPr>
        <w:spacing w:after="0" w:line="157" w:lineRule="exact"/>
        <w:rPr>
          <w:rFonts w:ascii="Times New Roman" w:cs="Times New Roman" w:eastAsia="Times New Roman" w:hAnsi="Times New Roman"/>
          <w:sz w:val="18"/>
          <w:szCs w:val="18"/>
          <w:b w:val="1"/>
          <w:bCs w:val="1"/>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Grants from the Israel Innovation Authority (“IIA”)</w:t>
      </w:r>
    </w:p>
    <w:p>
      <w:pPr>
        <w:spacing w:after="0" w:line="229" w:lineRule="exact"/>
        <w:rPr>
          <w:rFonts w:ascii="Times New Roman" w:cs="Times New Roman" w:eastAsia="Times New Roman" w:hAnsi="Times New Roman"/>
          <w:sz w:val="18"/>
          <w:szCs w:val="18"/>
          <w:b w:val="1"/>
          <w:bCs w:val="1"/>
          <w:color w:val="auto"/>
        </w:rPr>
      </w:pPr>
    </w:p>
    <w:p>
      <w:pPr>
        <w:jc w:val="both"/>
        <w:ind w:left="1300" w:right="2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Under the terms of the Company’s funding from the IIA, royalties of 3% are payable on sales of products developed from a project so funded, up to a maximum amount equaling 100%-150% of the grants received (dollar linked) with the addition of interest at an annual rate based on SOFR.</w:t>
      </w:r>
    </w:p>
    <w:p>
      <w:pPr>
        <w:spacing w:after="0" w:line="175" w:lineRule="exact"/>
        <w:rPr>
          <w:rFonts w:ascii="Times New Roman" w:cs="Times New Roman" w:eastAsia="Times New Roman" w:hAnsi="Times New Roman"/>
          <w:sz w:val="18"/>
          <w:szCs w:val="18"/>
          <w:b w:val="1"/>
          <w:bCs w:val="1"/>
          <w:color w:val="auto"/>
        </w:rPr>
      </w:pPr>
    </w:p>
    <w:p>
      <w:pPr>
        <w:ind w:left="1300" w:right="1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the time the grants were received, successful development of the related projects was not assured. The total amount received through March 31, 2024 was $2,213 ($2,570 including interest).</w:t>
      </w:r>
    </w:p>
    <w:p>
      <w:pPr>
        <w:spacing w:after="0" w:line="161" w:lineRule="exact"/>
        <w:rPr>
          <w:rFonts w:ascii="Times New Roman" w:cs="Times New Roman" w:eastAsia="Times New Roman" w:hAnsi="Times New Roman"/>
          <w:sz w:val="18"/>
          <w:szCs w:val="18"/>
          <w:b w:val="1"/>
          <w:bCs w:val="1"/>
          <w:color w:val="auto"/>
        </w:rPr>
      </w:pPr>
    </w:p>
    <w:p>
      <w:pPr>
        <w:ind w:left="13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March 31, 2024, the liability to the IIA was $59.</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ORAMED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INTERIM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MARKETABLE SECURITIES:</w:t>
      </w:r>
    </w:p>
    <w:p>
      <w:pPr>
        <w:spacing w:after="0" w:line="229" w:lineRule="exact"/>
        <w:rPr>
          <w:sz w:val="20"/>
          <w:szCs w:val="20"/>
          <w:color w:val="auto"/>
        </w:rPr>
      </w:pPr>
    </w:p>
    <w:p>
      <w:pPr>
        <w:ind w:left="1300" w:right="120"/>
        <w:spacing w:after="0" w:line="312" w:lineRule="auto"/>
        <w:rPr>
          <w:sz w:val="20"/>
          <w:szCs w:val="20"/>
          <w:color w:val="auto"/>
        </w:rPr>
      </w:pPr>
      <w:r>
        <w:rPr>
          <w:rFonts w:ascii="Times New Roman" w:cs="Times New Roman" w:eastAsia="Times New Roman" w:hAnsi="Times New Roman"/>
          <w:sz w:val="17"/>
          <w:szCs w:val="17"/>
          <w:color w:val="auto"/>
        </w:rPr>
        <w:t>The Company’s marketable securities include investments in equity securities of DNA GROUP (T.R.) Ltd. (formerly D.N.A Biomedical Solutions Ltd.) (“DNA”), Entera Bio Ltd. (“Entera”), and the Transferred Warrants (as defined herein; for further details, see note 7).</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ind w:left="980"/>
              <w:spacing w:after="0"/>
              <w:rPr>
                <w:sz w:val="20"/>
                <w:szCs w:val="20"/>
                <w:color w:val="auto"/>
              </w:rPr>
            </w:pPr>
            <w:r>
              <w:rPr>
                <w:rFonts w:ascii="Times New Roman" w:cs="Times New Roman" w:eastAsia="Times New Roman" w:hAnsi="Times New Roman"/>
                <w:sz w:val="18"/>
                <w:szCs w:val="18"/>
                <w:b w:val="1"/>
                <w:bCs w:val="1"/>
                <w:color w:val="auto"/>
              </w:rPr>
              <w:t>a.  Composition</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Long-term:</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DNA (see b below)</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297</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Entera (see c below)</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195</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8"/>
                <w:szCs w:val="18"/>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Transferred Warrants (see note 7)</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1,464</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100" w:type="dxa"/>
            <w:vAlign w:val="bottom"/>
            <w:shd w:val="clear" w:color="auto" w:fill="CCEEFF"/>
          </w:tcPr>
          <w:p>
            <w:pPr>
              <w:spacing w:after="0"/>
              <w:rPr>
                <w:sz w:val="19"/>
                <w:szCs w:val="19"/>
                <w:color w:val="auto"/>
              </w:rPr>
            </w:pPr>
          </w:p>
        </w:tc>
      </w:tr>
      <w:tr>
        <w:trPr>
          <w:trHeight w:val="27"/>
        </w:trPr>
        <w:tc>
          <w:tcPr>
            <w:tcW w:w="86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86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100" w:type="dxa"/>
            <w:vAlign w:val="bottom"/>
          </w:tcPr>
          <w:p>
            <w:pPr>
              <w:spacing w:after="0"/>
              <w:rPr>
                <w:sz w:val="21"/>
                <w:szCs w:val="21"/>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DNA</w:t>
      </w:r>
    </w:p>
    <w:p>
      <w:pPr>
        <w:spacing w:after="0" w:line="229" w:lineRule="exact"/>
        <w:rPr>
          <w:rFonts w:ascii="Times New Roman" w:cs="Times New Roman" w:eastAsia="Times New Roman" w:hAnsi="Times New Roman"/>
          <w:sz w:val="18"/>
          <w:szCs w:val="18"/>
          <w:b w:val="1"/>
          <w:bCs w:val="1"/>
          <w:color w:val="auto"/>
        </w:rPr>
      </w:pPr>
    </w:p>
    <w:p>
      <w:pPr>
        <w:ind w:left="1300" w:right="1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DNA ordinary shares are traded on the Tel Aviv Stock Exchange. The fair value of those securities is measured at the quoted prices of the securities on the measurement date.</w:t>
      </w:r>
    </w:p>
    <w:p>
      <w:pPr>
        <w:spacing w:after="0" w:line="161" w:lineRule="exact"/>
        <w:rPr>
          <w:rFonts w:ascii="Times New Roman" w:cs="Times New Roman" w:eastAsia="Times New Roman" w:hAnsi="Times New Roman"/>
          <w:sz w:val="18"/>
          <w:szCs w:val="18"/>
          <w:b w:val="1"/>
          <w:bCs w:val="1"/>
          <w:color w:val="auto"/>
        </w:rPr>
      </w:pPr>
    </w:p>
    <w:p>
      <w:pPr>
        <w:ind w:left="1300" w:right="1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three month periods ended March 31, 2024 and March 31, 2023, the Company did not sell any of DNA’s ordinary shares. As of March 31, 2024, the Company owns approximately 1.4% of DNA’s outstanding ordinary shares.</w:t>
      </w:r>
    </w:p>
    <w:p>
      <w:pPr>
        <w:spacing w:after="0" w:line="161" w:lineRule="exact"/>
        <w:rPr>
          <w:rFonts w:ascii="Times New Roman" w:cs="Times New Roman" w:eastAsia="Times New Roman" w:hAnsi="Times New Roman"/>
          <w:sz w:val="18"/>
          <w:szCs w:val="18"/>
          <w:b w:val="1"/>
          <w:bCs w:val="1"/>
          <w:color w:val="auto"/>
        </w:rPr>
      </w:pPr>
    </w:p>
    <w:p>
      <w:pPr>
        <w:ind w:left="13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cost of the securities as of both March 31, 2024 and December 31, 2023 was $595.</w:t>
      </w:r>
    </w:p>
    <w:p>
      <w:pPr>
        <w:spacing w:after="0" w:line="221" w:lineRule="exact"/>
        <w:rPr>
          <w:rFonts w:ascii="Times New Roman" w:cs="Times New Roman" w:eastAsia="Times New Roman" w:hAnsi="Times New Roman"/>
          <w:sz w:val="18"/>
          <w:szCs w:val="18"/>
          <w:b w:val="1"/>
          <w:bCs w:val="1"/>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Entera</w:t>
      </w:r>
    </w:p>
    <w:p>
      <w:pPr>
        <w:spacing w:after="0" w:line="229" w:lineRule="exact"/>
        <w:rPr>
          <w:rFonts w:ascii="Times New Roman" w:cs="Times New Roman" w:eastAsia="Times New Roman" w:hAnsi="Times New Roman"/>
          <w:sz w:val="18"/>
          <w:szCs w:val="18"/>
          <w:b w:val="1"/>
          <w:bCs w:val="1"/>
          <w:color w:val="auto"/>
        </w:rPr>
      </w:pPr>
    </w:p>
    <w:p>
      <w:pPr>
        <w:ind w:left="1300" w:right="2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Entera ordinary shares have been traded on the Nasdaq Capital Market since June 28, 2018. The Company measures the investment at fair value from such date, since it has a readily determinable fair value (prior to such date the investment was accounted for as a cost method investment (amounting to $1)).</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 w:name="page16"/>
    <w:bookmarkEnd w:id="15"/>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ORAMED PHARMACEUTICALS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NOTES TO INTERIM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OTHER NON-MARKETABLE EQUITY SECURITIES:</w:t>
      </w:r>
    </w:p>
    <w:p>
      <w:pPr>
        <w:spacing w:after="0" w:line="229" w:lineRule="exact"/>
        <w:rPr>
          <w:sz w:val="20"/>
          <w:szCs w:val="20"/>
          <w:color w:val="auto"/>
        </w:rPr>
      </w:pPr>
    </w:p>
    <w:p>
      <w:pPr>
        <w:ind w:left="1300" w:right="40"/>
        <w:spacing w:after="0" w:line="258" w:lineRule="auto"/>
        <w:rPr>
          <w:sz w:val="20"/>
          <w:szCs w:val="20"/>
          <w:color w:val="auto"/>
        </w:rPr>
      </w:pPr>
      <w:r>
        <w:rPr>
          <w:rFonts w:ascii="Times New Roman" w:cs="Times New Roman" w:eastAsia="Times New Roman" w:hAnsi="Times New Roman"/>
          <w:sz w:val="18"/>
          <w:szCs w:val="18"/>
          <w:color w:val="auto"/>
        </w:rPr>
        <w:t>On August 26, 2022, the Company entered into a stock purchase agreement with Diasome Pharmaceuticals, Inc. (“Diasome”), a privately-held company, pursuant to which the Company purchased shares of Series B preferred stock of Diasome for an aggregate purchase price of approximately $2,700. Following the purchase, the Company holds less than 5% of the issued and outstanding stock of Diasome. The stock purchase agreement provides the Company with the option to purchase additional preferred shares of stock on a pro rata basis at similar terms to the terms and conditions of that round contingent upon Diasome achieving certain milestones.</w:t>
      </w:r>
    </w:p>
    <w:p>
      <w:pPr>
        <w:spacing w:after="0" w:line="183" w:lineRule="exact"/>
        <w:rPr>
          <w:sz w:val="20"/>
          <w:szCs w:val="20"/>
          <w:color w:val="auto"/>
        </w:rPr>
      </w:pPr>
    </w:p>
    <w:p>
      <w:pPr>
        <w:ind w:left="1300" w:right="80"/>
        <w:spacing w:after="0" w:line="258" w:lineRule="auto"/>
        <w:rPr>
          <w:sz w:val="20"/>
          <w:szCs w:val="20"/>
          <w:color w:val="auto"/>
        </w:rPr>
      </w:pPr>
      <w:r>
        <w:rPr>
          <w:rFonts w:ascii="Times New Roman" w:cs="Times New Roman" w:eastAsia="Times New Roman" w:hAnsi="Times New Roman"/>
          <w:sz w:val="18"/>
          <w:szCs w:val="18"/>
          <w:color w:val="auto"/>
        </w:rPr>
        <w:t>The Company accounts for the investment under the measurement alternative in Accounting Standards Codification (“ASC”) 321 “Investments – Equity Securities,” whereby the equity investment is recorded at cost, less impairment. The carrying amount is subsequently remeasured to its fair value in accordance with the provisions of ASC 820 “Fair Value Measurement” when observable price changes occur as of the date the transaction occurred, or it is impaired. Any adjustments to the carrying amount are recorded in the statements of comprehensive income or loss.</w:t>
      </w:r>
    </w:p>
    <w:p>
      <w:pPr>
        <w:spacing w:after="0" w:line="183" w:lineRule="exact"/>
        <w:rPr>
          <w:sz w:val="20"/>
          <w:szCs w:val="20"/>
          <w:color w:val="auto"/>
        </w:rPr>
      </w:pPr>
    </w:p>
    <w:p>
      <w:pPr>
        <w:ind w:left="1300" w:right="20"/>
        <w:spacing w:after="0" w:line="261" w:lineRule="auto"/>
        <w:rPr>
          <w:sz w:val="20"/>
          <w:szCs w:val="20"/>
          <w:color w:val="auto"/>
        </w:rPr>
      </w:pPr>
      <w:r>
        <w:rPr>
          <w:rFonts w:ascii="Times New Roman" w:cs="Times New Roman" w:eastAsia="Times New Roman" w:hAnsi="Times New Roman"/>
          <w:sz w:val="18"/>
          <w:szCs w:val="18"/>
          <w:color w:val="auto"/>
        </w:rPr>
        <w:t>The Company’s non-marketable equity securities are an investment in a company without a readily determinable fair value. During fiscal year 2023, the Company recorded an $824 increase in value due to the closing in June 2023 of a Series C investment round in Diasome. The change was recorded using the transaction price of similar securities issued by Diasome, adjusted for contractual rights and obligations of the securities held by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SHORT-TERM BORROWINGS:</w:t>
      </w:r>
    </w:p>
    <w:p>
      <w:pPr>
        <w:spacing w:after="0" w:line="229" w:lineRule="exact"/>
        <w:rPr>
          <w:sz w:val="20"/>
          <w:szCs w:val="20"/>
          <w:color w:val="auto"/>
        </w:rPr>
      </w:pPr>
    </w:p>
    <w:p>
      <w:pPr>
        <w:ind w:left="1300"/>
        <w:spacing w:after="0" w:line="256" w:lineRule="auto"/>
        <w:rPr>
          <w:sz w:val="20"/>
          <w:szCs w:val="20"/>
          <w:color w:val="auto"/>
        </w:rPr>
      </w:pPr>
      <w:r>
        <w:rPr>
          <w:rFonts w:ascii="Times New Roman" w:cs="Times New Roman" w:eastAsia="Times New Roman" w:hAnsi="Times New Roman"/>
          <w:sz w:val="18"/>
          <w:szCs w:val="18"/>
          <w:color w:val="auto"/>
        </w:rPr>
        <w:t>On August 8, 2023, the Company borrowed an aggregate of $99,550 pursuant to loan agreements from Israel Discount Bank Ltd. (the “Short-Term Borrowings”). The Short-Term Borrowings mature on dates ranging from August 11, 2023 to May 24, 2024, bear interest ranging from 6.66% to 7.38%, and are secured by certificates of deposits issued by Israel Discount Bank Ltd. having an aggregate face amount of $99,550. The net proceeds of the Short-Term Borrowings were used to fund the Note (for further details, see note 7). The Short-Term Borrowings are paid in one payment of principal and interest at each respective maturity. As of March 31, 2024, $70,146 was repaid under the Short-Term Borrowings.</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aggregate remaining annual principal payments on debt until maturity is $30,550.</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3" w:right="37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ORAMED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INTERIM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INVESTMENTS, AT FAIR VALUE:</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Scilex Transaction</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On September 21, 2023 (the “Closing Date”), the Company entered into and consummated the transactions (collectively, the</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“Transaction”) contemplated by the Scilex SPA with Scilex and Acquiom Agency Services LLC. Pursuant to the Scilex SPA, in exchange</w:t>
      </w:r>
    </w:p>
    <w:p>
      <w:pPr>
        <w:spacing w:after="0" w:line="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for the DIP Assumption and for the ability to credit the amounts assumed under the DIP Assumption in exchange for certain equity</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securities of Scilex owned by Sorrento, Scilex (i) issued to the Company (A) the Note, (B) a warrant to purchase up to an aggregate of</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4,500,000 shares of common stock of Scilex, par value $0.0001 per share (“Scilex Common Stock”), with an exercise price of $0.01 per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share and containing certain restrictions on exercisability (the “Closing Penny Warrant”), and (C) warrants to purchase up to an aggregate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of 8,500,000 shares of Scilex Common Stock (the “Subsequent Penny Warrants” and together with the Closing Penny Warrant, the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“Penny Warrants”), each with an exercise price of $0.01 per share and each with certain restrictions on exercisability, and (ii) caused</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certain outstanding warrants to purchase up to an aggregate of 4,000,000 shares of Scilex Common Stock with an exercise price of</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$11.50 per share to be transferred to the Company (the “Transferred Warrants” and together with the Penny Warrants, the “Warrants”). In</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addition, on the Closing Date, Scilex reimbursed $1,910 of the Company’s Transaction expenses pursuant to the Scilex SPA.</w:t>
      </w:r>
    </w:p>
    <w:p>
      <w:pPr>
        <w:spacing w:after="0" w:line="207" w:lineRule="exact"/>
        <w:rPr>
          <w:sz w:val="20"/>
          <w:szCs w:val="20"/>
          <w:color w:val="auto"/>
        </w:rPr>
      </w:pPr>
    </w:p>
    <w:p>
      <w:pPr>
        <w:jc w:val="both"/>
        <w:ind w:left="1300" w:right="240"/>
        <w:spacing w:after="0" w:line="266" w:lineRule="auto"/>
        <w:rPr>
          <w:sz w:val="20"/>
          <w:szCs w:val="20"/>
          <w:color w:val="auto"/>
        </w:rPr>
      </w:pPr>
      <w:r>
        <w:rPr>
          <w:rFonts w:ascii="Times New Roman" w:cs="Times New Roman" w:eastAsia="Times New Roman" w:hAnsi="Times New Roman"/>
          <w:sz w:val="18"/>
          <w:szCs w:val="18"/>
          <w:color w:val="auto"/>
        </w:rPr>
        <w:t>Pursuant to the terms of the Scilex SPA, Scilex agreed to certain restrictions on additional issuances of equity securities. In connection with the Transaction, the Company and Sorrento mutually agreed to terminate the Sorrento SPA and to release all claims the Company and Sorrento may have against one another, and Scilex completed the acquisition of the Purchased Securities.</w:t>
      </w:r>
    </w:p>
    <w:p>
      <w:pPr>
        <w:spacing w:after="0" w:line="17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i w:val="1"/>
          <w:iCs w:val="1"/>
          <w:color w:val="auto"/>
        </w:rPr>
        <w:t>The Note</w:t>
      </w:r>
    </w:p>
    <w:p>
      <w:pPr>
        <w:spacing w:after="0" w:line="227" w:lineRule="exact"/>
        <w:rPr>
          <w:sz w:val="20"/>
          <w:szCs w:val="20"/>
          <w:color w:val="auto"/>
        </w:rPr>
      </w:pPr>
    </w:p>
    <w:p>
      <w:pPr>
        <w:ind w:left="1960"/>
        <w:spacing w:after="0" w:line="269" w:lineRule="auto"/>
        <w:rPr>
          <w:sz w:val="20"/>
          <w:szCs w:val="20"/>
          <w:color w:val="auto"/>
        </w:rPr>
      </w:pPr>
      <w:r>
        <w:rPr>
          <w:rFonts w:ascii="Times New Roman" w:cs="Times New Roman" w:eastAsia="Times New Roman" w:hAnsi="Times New Roman"/>
          <w:sz w:val="17"/>
          <w:szCs w:val="17"/>
          <w:color w:val="auto"/>
        </w:rPr>
        <w:t>The principal of the Note issued on September 21, 2023 is $101,875, which includes accrued and unpaid interest of $875 under the Senior DIP Loan Agreement and $1,000 of fees added to the principal amount of the Note. The Note matures on March 21, 2025 or upon an uncured event of default, subject to certain mandatory prepayments, and bears interest at a rate per annum equal to Term SOFR (as defined in the Note) plus 8.5% (subject to a Term SOFR floor of 4.0%), to be paid in-kind, by being capitalized and added to the principal amount of the Note on a monthly basis. The Scilex SPA provides for principal payments of</w:t>
      </w:r>
    </w:p>
    <w:p>
      <w:pPr>
        <w:spacing w:after="0" w:line="3" w:lineRule="exact"/>
        <w:rPr>
          <w:sz w:val="20"/>
          <w:szCs w:val="20"/>
          <w:color w:val="auto"/>
        </w:rPr>
      </w:pPr>
    </w:p>
    <w:p>
      <w:pPr>
        <w:jc w:val="both"/>
        <w:ind w:left="1960" w:right="240" w:hanging="8"/>
        <w:spacing w:after="0" w:line="253" w:lineRule="auto"/>
        <w:tabs>
          <w:tab w:leader="none" w:pos="21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 on December 21, 2023, (ii) $15,000 on March 21, 2024, and (iii) $20,000 on each of June 21, 2024, September 21, 2024, and December 21, 2024, and for the entire remaining principal balance of the Note to be paid on March 21, 2025. If the Note is not repaid in full on or prior to March 21, 2024, an exit fee equal to approximately $3,056 shall be payable upon repayment of the Note in full.</w:t>
      </w:r>
    </w:p>
    <w:p>
      <w:pPr>
        <w:spacing w:after="0" w:line="189" w:lineRule="exact"/>
        <w:rPr>
          <w:sz w:val="20"/>
          <w:szCs w:val="20"/>
          <w:color w:val="auto"/>
        </w:rPr>
      </w:pPr>
    </w:p>
    <w:p>
      <w:pPr>
        <w:ind w:left="1960"/>
        <w:spacing w:after="0" w:line="266" w:lineRule="auto"/>
        <w:rPr>
          <w:sz w:val="20"/>
          <w:szCs w:val="20"/>
          <w:color w:val="auto"/>
        </w:rPr>
      </w:pPr>
      <w:r>
        <w:rPr>
          <w:rFonts w:ascii="Times New Roman" w:cs="Times New Roman" w:eastAsia="Times New Roman" w:hAnsi="Times New Roman"/>
          <w:sz w:val="18"/>
          <w:szCs w:val="18"/>
          <w:color w:val="auto"/>
        </w:rPr>
        <w:t>The Note constitutes senior secured indebtedness of Scilex and is guaranteed by all existing or future formed, direct and indirect, domestic subsidiaries of Scilex and is secured by a first priority security interest in and liens on all of the assets of Scilex, subject to customary and mutually agreed permitted liens and except for certain specified exemptions.</w:t>
      </w:r>
    </w:p>
    <w:p>
      <w:pPr>
        <w:spacing w:after="0" w:line="176" w:lineRule="exact"/>
        <w:rPr>
          <w:sz w:val="20"/>
          <w:szCs w:val="20"/>
          <w:color w:val="auto"/>
        </w:rPr>
      </w:pPr>
    </w:p>
    <w:p>
      <w:pPr>
        <w:ind w:left="1960" w:right="40"/>
        <w:spacing w:after="0" w:line="258" w:lineRule="auto"/>
        <w:rPr>
          <w:sz w:val="20"/>
          <w:szCs w:val="20"/>
          <w:color w:val="auto"/>
        </w:rPr>
      </w:pPr>
      <w:r>
        <w:rPr>
          <w:rFonts w:ascii="Times New Roman" w:cs="Times New Roman" w:eastAsia="Times New Roman" w:hAnsi="Times New Roman"/>
          <w:sz w:val="18"/>
          <w:szCs w:val="18"/>
          <w:color w:val="auto"/>
        </w:rPr>
        <w:t>Mandatory prepayments under the Note are required following the earlier of (a) April 1, 2024 and (b) the date upon which certain of Scilex’s outstanding indebtedness are repaid in full. Mandatory prepayments may be triggered by certain future equity and debt issuances by Scilex. Voluntary prepayments may be made at Scilex’s discretion; provided that, if made prior to the one-year anniversary of the Closing Date, Scilex will also be required to pay a 50% interest make-whole on the portion of the Note so prepaid.</w:t>
      </w:r>
    </w:p>
    <w:p>
      <w:pPr>
        <w:spacing w:after="0" w:line="18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The Note includes customary events of default, upon which the Note will bear interest at a default rate of Term SOFR plus</w:t>
      </w:r>
    </w:p>
    <w:p>
      <w:pPr>
        <w:spacing w:after="0" w:line="27" w:lineRule="exact"/>
        <w:rPr>
          <w:sz w:val="20"/>
          <w:szCs w:val="20"/>
          <w:color w:val="auto"/>
        </w:rPr>
      </w:pPr>
    </w:p>
    <w:p>
      <w:pPr>
        <w:ind w:left="1960" w:right="20"/>
        <w:spacing w:after="0" w:line="253" w:lineRule="auto"/>
        <w:rPr>
          <w:sz w:val="20"/>
          <w:szCs w:val="20"/>
          <w:color w:val="auto"/>
        </w:rPr>
      </w:pPr>
      <w:r>
        <w:rPr>
          <w:rFonts w:ascii="Times New Roman" w:cs="Times New Roman" w:eastAsia="Times New Roman" w:hAnsi="Times New Roman"/>
          <w:sz w:val="18"/>
          <w:szCs w:val="18"/>
          <w:color w:val="auto"/>
        </w:rPr>
        <w:t>15.0%, which shall be payable in-kind, by being capitalized and added to the principal amount of the Note on a monthly basis. If the Note is accelerated upon an event of default, Scilex is required to repay the principal amount of the Note at a mandatory default rate of 125% of such principal amount (together with 100% of accrued and unpaid interest thereon and all other amounts due in respect of the Note).</w:t>
      </w:r>
    </w:p>
    <w:p>
      <w:pPr>
        <w:spacing w:after="0" w:line="189" w:lineRule="exact"/>
        <w:rPr>
          <w:sz w:val="20"/>
          <w:szCs w:val="20"/>
          <w:color w:val="auto"/>
        </w:rPr>
      </w:pPr>
    </w:p>
    <w:p>
      <w:pPr>
        <w:ind w:left="1960" w:right="80"/>
        <w:spacing w:after="0" w:line="282" w:lineRule="auto"/>
        <w:rPr>
          <w:sz w:val="20"/>
          <w:szCs w:val="20"/>
          <w:color w:val="auto"/>
        </w:rPr>
      </w:pPr>
      <w:r>
        <w:rPr>
          <w:rFonts w:ascii="Times New Roman" w:cs="Times New Roman" w:eastAsia="Times New Roman" w:hAnsi="Times New Roman"/>
          <w:sz w:val="18"/>
          <w:szCs w:val="18"/>
          <w:color w:val="auto"/>
        </w:rPr>
        <w:t>Until the obligations under the Note are repaid in full, the Company has the right to designate one non-voting observer to attend meetings of the board of directors and committees of Scilex and its subsidiaries.</w:t>
      </w:r>
    </w:p>
    <w:p>
      <w:pPr>
        <w:spacing w:after="0" w:line="162" w:lineRule="exact"/>
        <w:rPr>
          <w:sz w:val="20"/>
          <w:szCs w:val="20"/>
          <w:color w:val="auto"/>
        </w:rPr>
      </w:pPr>
    </w:p>
    <w:p>
      <w:pPr>
        <w:ind w:left="1960" w:right="260"/>
        <w:spacing w:after="0" w:line="266" w:lineRule="auto"/>
        <w:rPr>
          <w:sz w:val="20"/>
          <w:szCs w:val="20"/>
          <w:color w:val="auto"/>
        </w:rPr>
      </w:pPr>
      <w:r>
        <w:rPr>
          <w:rFonts w:ascii="Times New Roman" w:cs="Times New Roman" w:eastAsia="Times New Roman" w:hAnsi="Times New Roman"/>
          <w:sz w:val="18"/>
          <w:szCs w:val="18"/>
          <w:color w:val="auto"/>
        </w:rPr>
        <w:t>Pursuant to the terms of the Note, the Company received the first principal payment of $5,000 on December 21, 2023 and the second principal payment of $15,000 prior to March 21, 2024. On May 2, 2024, the Company received a payment of approximately $9,600 from Scilex in accordance with the mandatory prepayment requirements under the Note.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ORAMED PHARMACEUTICALS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INTERIM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7 - INVESTMENTS, AT FAIR VALUE </w:t>
      </w:r>
      <w:r>
        <w:rPr>
          <w:rFonts w:ascii="Times New Roman" w:cs="Times New Roman" w:eastAsia="Times New Roman" w:hAnsi="Times New Roman"/>
          <w:sz w:val="18"/>
          <w:szCs w:val="18"/>
          <w:color w:val="auto"/>
        </w:rPr>
        <w:t>(continued):</w:t>
      </w:r>
    </w:p>
    <w:p>
      <w:pPr>
        <w:spacing w:after="0" w:line="2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i w:val="1"/>
          <w:iCs w:val="1"/>
          <w:color w:val="auto"/>
        </w:rPr>
        <w:t>Closing Penny Warrant</w:t>
      </w:r>
    </w:p>
    <w:p>
      <w:pPr>
        <w:spacing w:after="0" w:line="227" w:lineRule="exact"/>
        <w:rPr>
          <w:sz w:val="20"/>
          <w:szCs w:val="20"/>
          <w:color w:val="auto"/>
        </w:rPr>
      </w:pPr>
    </w:p>
    <w:p>
      <w:pPr>
        <w:ind w:left="1960"/>
        <w:spacing w:after="0" w:line="254" w:lineRule="auto"/>
        <w:rPr>
          <w:sz w:val="20"/>
          <w:szCs w:val="20"/>
          <w:color w:val="auto"/>
        </w:rPr>
      </w:pPr>
      <w:r>
        <w:rPr>
          <w:rFonts w:ascii="Times New Roman" w:cs="Times New Roman" w:eastAsia="Times New Roman" w:hAnsi="Times New Roman"/>
          <w:sz w:val="18"/>
          <w:szCs w:val="18"/>
          <w:color w:val="auto"/>
        </w:rPr>
        <w:t>The Closing Penny Warrant will be exercisable upon the earliest of (i) March 14, 2025, (ii) the date on which the Senior Secured Note has been repaid in full and (iii) the Management Sale Trigger Date (as defined therein), if any, and will expire on the date that is the fifth anniversary of the issuance date (i.e., September 21, 2028). For purposes of the Penny Warrants, the Management Sale Trigger Date is generally the first date that either Dr. Henry Ji, Scilex’s Executive Chairperson, or Mr. Jaisim Shah, Scilex’s Chief Executive Officer and President and a member of Scilex’s Board of Directors, engages in certain sales or other similar transfers of shares of Common Stock or other of the Issuer’s or any of its subsidiaries’ securities, subject to certain exceptions in connection with financings or similar transactions. The exercise price of the Closing Penny Warrant is $0.01 per share, subject to adjustment.</w:t>
      </w:r>
    </w:p>
    <w:p>
      <w:pPr>
        <w:spacing w:after="0" w:line="19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i w:val="1"/>
          <w:iCs w:val="1"/>
          <w:color w:val="auto"/>
        </w:rPr>
        <w:t>Subsequent Penny Warrants</w:t>
      </w:r>
    </w:p>
    <w:p>
      <w:pPr>
        <w:spacing w:after="0" w:line="227" w:lineRule="exact"/>
        <w:rPr>
          <w:sz w:val="20"/>
          <w:szCs w:val="20"/>
          <w:color w:val="auto"/>
        </w:rPr>
      </w:pPr>
    </w:p>
    <w:p>
      <w:pPr>
        <w:ind w:left="1960" w:right="20"/>
        <w:spacing w:after="0" w:line="254" w:lineRule="auto"/>
        <w:rPr>
          <w:sz w:val="20"/>
          <w:szCs w:val="20"/>
          <w:color w:val="auto"/>
        </w:rPr>
      </w:pPr>
      <w:r>
        <w:rPr>
          <w:rFonts w:ascii="Times New Roman" w:cs="Times New Roman" w:eastAsia="Times New Roman" w:hAnsi="Times New Roman"/>
          <w:sz w:val="18"/>
          <w:szCs w:val="18"/>
          <w:color w:val="auto"/>
        </w:rPr>
        <w:t>Scilex issued four Subsequent Penny Warrants to the Company, each for 2,125,000 shares of Scilex Common Stock, one of which shall vest and become exercisable on the date that is the later of (i) each of March 19, 2024, June 17, 2024, September 15, 2024 or December 14, 2024 (the “Subsequent Penny Warrant Vesting Date”) and (ii) the earliest of (A) March 14, 2025, (B) the date on which the Senior Secured Note has been repaid in full and (C) the Management Sale Trigger Date (as defined therein), if any. Each Subsequent Penny Warrant will expire on the date that is the fifth anniversary of the issuance date; provided that, if the Senior Secured Note is repaid in full prior to the Subsequent Penny Warrant Vesting Date applicable to such Subsequent Penny Warrant, such Subsequent Penny Warrant will expire on the date the Senior Secured Note is repaid in full. The Company may exercise the Penny Warrants by means of a “cashless exercise.”</w:t>
      </w:r>
    </w:p>
    <w:p>
      <w:pPr>
        <w:spacing w:after="0" w:line="192" w:lineRule="exact"/>
        <w:rPr>
          <w:sz w:val="20"/>
          <w:szCs w:val="20"/>
          <w:color w:val="auto"/>
        </w:rPr>
      </w:pPr>
    </w:p>
    <w:p>
      <w:pPr>
        <w:jc w:val="both"/>
        <w:ind w:left="1960" w:right="20"/>
        <w:spacing w:after="0" w:line="266" w:lineRule="auto"/>
        <w:rPr>
          <w:sz w:val="20"/>
          <w:szCs w:val="20"/>
          <w:color w:val="auto"/>
        </w:rPr>
      </w:pPr>
      <w:r>
        <w:rPr>
          <w:rFonts w:ascii="Times New Roman" w:cs="Times New Roman" w:eastAsia="Times New Roman" w:hAnsi="Times New Roman"/>
          <w:sz w:val="18"/>
          <w:szCs w:val="18"/>
          <w:color w:val="auto"/>
        </w:rPr>
        <w:t>The Penny Warrants may not be exercised if the Company, together with its affiliates, would beneficially own in excess of 9.9% of the number of shares of Scilex Common Stock outstanding immediately after giving effect to such exercise; provided, that the Company may increase or decrease such limitation upon 61 days’ prior notice to Scilex.</w:t>
      </w:r>
    </w:p>
    <w:p>
      <w:pPr>
        <w:spacing w:after="0" w:line="17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i w:val="1"/>
          <w:iCs w:val="1"/>
          <w:color w:val="auto"/>
        </w:rPr>
        <w:t>Transferred Warrants</w:t>
      </w:r>
    </w:p>
    <w:p>
      <w:pPr>
        <w:spacing w:after="0" w:line="227" w:lineRule="exact"/>
        <w:rPr>
          <w:sz w:val="20"/>
          <w:szCs w:val="20"/>
          <w:color w:val="auto"/>
        </w:rPr>
      </w:pPr>
    </w:p>
    <w:p>
      <w:pPr>
        <w:ind w:left="1960" w:right="740"/>
        <w:spacing w:after="0" w:line="282" w:lineRule="auto"/>
        <w:rPr>
          <w:sz w:val="20"/>
          <w:szCs w:val="20"/>
          <w:color w:val="auto"/>
        </w:rPr>
      </w:pPr>
      <w:r>
        <w:rPr>
          <w:rFonts w:ascii="Times New Roman" w:cs="Times New Roman" w:eastAsia="Times New Roman" w:hAnsi="Times New Roman"/>
          <w:sz w:val="18"/>
          <w:szCs w:val="18"/>
          <w:color w:val="auto"/>
        </w:rPr>
        <w:t>The Transferred Warrants are listed on the Nasdaq Capital Market, have an exercise price of $11.50 per share, are fully exercisable and expire on November 10, 2027.</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Company accounted for the Transferred Warrants as derivatives measured at fair value.</w:t>
      </w:r>
    </w:p>
    <w:p>
      <w:pPr>
        <w:spacing w:after="0" w:line="225" w:lineRule="exact"/>
        <w:rPr>
          <w:sz w:val="20"/>
          <w:szCs w:val="20"/>
          <w:color w:val="auto"/>
        </w:rPr>
      </w:pPr>
    </w:p>
    <w:p>
      <w:pPr>
        <w:ind w:left="1300" w:right="140"/>
        <w:spacing w:after="0" w:line="282" w:lineRule="auto"/>
        <w:rPr>
          <w:sz w:val="20"/>
          <w:szCs w:val="20"/>
          <w:color w:val="auto"/>
        </w:rPr>
      </w:pPr>
      <w:r>
        <w:rPr>
          <w:rFonts w:ascii="Times New Roman" w:cs="Times New Roman" w:eastAsia="Times New Roman" w:hAnsi="Times New Roman"/>
          <w:sz w:val="18"/>
          <w:szCs w:val="18"/>
          <w:color w:val="auto"/>
        </w:rPr>
        <w:t>The Company elected the fair value option for the Note and the Penny Warrants in order to reduce operational complexity of bifurcating embedded derivatives. Changes in value are recorded under financial income, net and include interest income on the Note.</w:t>
      </w:r>
    </w:p>
    <w:p>
      <w:pPr>
        <w:spacing w:after="0" w:line="162" w:lineRule="exact"/>
        <w:rPr>
          <w:sz w:val="20"/>
          <w:szCs w:val="20"/>
          <w:color w:val="auto"/>
        </w:rPr>
      </w:pPr>
    </w:p>
    <w:p>
      <w:pPr>
        <w:ind w:left="1300" w:right="120"/>
        <w:spacing w:after="0" w:line="261" w:lineRule="auto"/>
        <w:rPr>
          <w:sz w:val="20"/>
          <w:szCs w:val="20"/>
          <w:color w:val="auto"/>
        </w:rPr>
      </w:pPr>
      <w:r>
        <w:rPr>
          <w:rFonts w:ascii="Times New Roman" w:cs="Times New Roman" w:eastAsia="Times New Roman" w:hAnsi="Times New Roman"/>
          <w:sz w:val="18"/>
          <w:szCs w:val="18"/>
          <w:color w:val="auto"/>
        </w:rPr>
        <w:t>The valuation was performed based on several scenarios which some of them took into account a partial or full early repayment of the Note. Each scenario took into consideration the present value of the Note’s cash flows (including the exit fee and the prepayment premium) and the Warrants’ value. The total value of the Transaction (and of each of its components) was valued on a weighted average of the different scenarios.</w:t>
      </w:r>
    </w:p>
    <w:p>
      <w:pPr>
        <w:spacing w:after="0" w:line="180" w:lineRule="exact"/>
        <w:rPr>
          <w:sz w:val="20"/>
          <w:szCs w:val="20"/>
          <w:color w:val="auto"/>
        </w:rPr>
      </w:pPr>
    </w:p>
    <w:p>
      <w:pPr>
        <w:ind w:left="1300" w:right="40"/>
        <w:spacing w:after="0" w:line="282" w:lineRule="auto"/>
        <w:rPr>
          <w:sz w:val="20"/>
          <w:szCs w:val="20"/>
          <w:color w:val="auto"/>
        </w:rPr>
      </w:pPr>
      <w:r>
        <w:rPr>
          <w:rFonts w:ascii="Times New Roman" w:cs="Times New Roman" w:eastAsia="Times New Roman" w:hAnsi="Times New Roman"/>
          <w:sz w:val="18"/>
          <w:szCs w:val="18"/>
          <w:color w:val="auto"/>
        </w:rPr>
        <w:t>The discount rate of the Note was based on the B- rating Zero curve in addition to a risk premium which takes into account the credit risk of Scilex and ranged between 53.67% to 53.92%.</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fair value of the Transferred Warrants was based on their closing price on the Nasdaq Capital Market.</w:t>
      </w:r>
    </w:p>
    <w:p>
      <w:pPr>
        <w:spacing w:after="0" w:line="225" w:lineRule="exact"/>
        <w:rPr>
          <w:sz w:val="20"/>
          <w:szCs w:val="20"/>
          <w:color w:val="auto"/>
        </w:rPr>
      </w:pPr>
    </w:p>
    <w:p>
      <w:pPr>
        <w:ind w:left="1300" w:right="500"/>
        <w:spacing w:after="0" w:line="282" w:lineRule="auto"/>
        <w:rPr>
          <w:sz w:val="20"/>
          <w:szCs w:val="20"/>
          <w:color w:val="auto"/>
        </w:rPr>
      </w:pPr>
      <w:r>
        <w:rPr>
          <w:rFonts w:ascii="Times New Roman" w:cs="Times New Roman" w:eastAsia="Times New Roman" w:hAnsi="Times New Roman"/>
          <w:sz w:val="18"/>
          <w:szCs w:val="18"/>
          <w:color w:val="auto"/>
        </w:rPr>
        <w:t>The fair value of the Penny Warrants was calculated based on the closing price of the Scilex Common Stock on the Nasdaq Capital Market, taking into account several scenarios which assume a partial or full early repayment of the Note, when applicable.</w:t>
      </w:r>
    </w:p>
    <w:p>
      <w:pPr>
        <w:spacing w:after="0" w:line="162" w:lineRule="exact"/>
        <w:rPr>
          <w:sz w:val="20"/>
          <w:szCs w:val="20"/>
          <w:color w:val="auto"/>
        </w:rPr>
      </w:pPr>
    </w:p>
    <w:p>
      <w:pPr>
        <w:ind w:left="1300" w:right="160"/>
        <w:spacing w:after="0" w:line="256" w:lineRule="auto"/>
        <w:rPr>
          <w:sz w:val="20"/>
          <w:szCs w:val="20"/>
          <w:color w:val="auto"/>
        </w:rPr>
      </w:pPr>
      <w:r>
        <w:rPr>
          <w:rFonts w:ascii="Times New Roman" w:cs="Times New Roman" w:eastAsia="Times New Roman" w:hAnsi="Times New Roman"/>
          <w:sz w:val="18"/>
          <w:szCs w:val="18"/>
          <w:color w:val="auto"/>
        </w:rPr>
        <w:t>On the Closing Date, the fair value of the Transaction was $101,875. As of March 31, 2024, and following the aforementioned repayments of $20,000, the fair value of the Transaction was $98,741, split between the Note ($77,733, presented under short-term investments at fair value), the Closing Penny Warrant ($7,155), the Subsequent Penny Warrants ($12,389), both presented under long-term investments at fair value and the Transferred Warrants ($1,464) presented under long-term marketable securities. This resulted in a gain of $3,552 during the first quarter of 2024, attributed mainly to the change in fair value of the Warrants. The difference between the Note’s fair value and aggregate unpaid principal balance (which includes interest payable on maturity) is $7,654.</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8" w:name="page19"/>
    <w:bookmarkEnd w:id="18"/>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ORAMED PHARMACEUTICALS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NOTES TO INTERIM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STOCKHOLDERS’ EQUITY:</w:t>
      </w:r>
    </w:p>
    <w:p>
      <w:pPr>
        <w:spacing w:after="0" w:line="229" w:lineRule="exact"/>
        <w:rPr>
          <w:sz w:val="20"/>
          <w:szCs w:val="20"/>
          <w:color w:val="auto"/>
        </w:rPr>
      </w:pPr>
    </w:p>
    <w:p>
      <w:pPr>
        <w:ind w:left="1620" w:right="80" w:hanging="316"/>
        <w:spacing w:after="0" w:line="261" w:lineRule="auto"/>
        <w:tabs>
          <w:tab w:leader="none" w:pos="1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4, 2024, the Company granted an aggregate of 150,000 RSUs representing a right to receive shares of the Company’s common stock to the Company’s board members. The RSUs granted to the board members will vest in three equal annual installments on each of January 1, 2025, 2026 and 2027. The total fair value of these RSUs on the date of grant was $359, using the quoted closing market share price of $2.39 on the Nasdaq Capital Market on the date of grant.</w:t>
      </w:r>
    </w:p>
    <w:p>
      <w:pPr>
        <w:spacing w:after="0" w:line="179" w:lineRule="exact"/>
        <w:rPr>
          <w:rFonts w:ascii="Times New Roman" w:cs="Times New Roman" w:eastAsia="Times New Roman" w:hAnsi="Times New Roman"/>
          <w:sz w:val="18"/>
          <w:szCs w:val="18"/>
          <w:color w:val="auto"/>
        </w:rPr>
      </w:pPr>
    </w:p>
    <w:p>
      <w:pPr>
        <w:ind w:left="1620" w:right="120" w:hanging="316"/>
        <w:spacing w:after="0" w:line="261" w:lineRule="auto"/>
        <w:tabs>
          <w:tab w:leader="none" w:pos="1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4, 2024, the Company granted an aggregate of 37,610 RSUs representing a right to receive shares of the Company’s common stock to the Company’s board members. The RSUs granted to certain board members will vest in four quarterly installments on each of April 1, 2024, July 1, 2024, October 1, 2024 and January 1, 2025. The total fair value of these RSUs on the date of grant was $90, using the quoted closing market share price of $2.39 on the Nasdaq Capital Market on the date of grant.</w:t>
      </w:r>
    </w:p>
    <w:p>
      <w:pPr>
        <w:spacing w:after="0" w:line="179" w:lineRule="exact"/>
        <w:rPr>
          <w:rFonts w:ascii="Times New Roman" w:cs="Times New Roman" w:eastAsia="Times New Roman" w:hAnsi="Times New Roman"/>
          <w:sz w:val="18"/>
          <w:szCs w:val="18"/>
          <w:color w:val="auto"/>
        </w:rPr>
      </w:pPr>
    </w:p>
    <w:p>
      <w:pPr>
        <w:ind w:left="1620" w:right="100" w:hanging="316"/>
        <w:spacing w:after="0" w:line="261" w:lineRule="auto"/>
        <w:tabs>
          <w:tab w:leader="none" w:pos="1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4, 2024, the Company granted an aggregate of 950,500 RSUs representing a right to receive shares of the Company’s common stock to the Company’s executive officers and one employee. The RSUs granted to executive officers and one employee will vest in twelve equal quarterly installments starting January 8, 2024. The total fair value of these RSUs on the date of grant was $2,272, using the quoted closing market share price of $2.39 on the Nasdaq Capital Market on the date of grant.</w:t>
      </w:r>
    </w:p>
    <w:p>
      <w:pPr>
        <w:spacing w:after="0" w:line="179" w:lineRule="exact"/>
        <w:rPr>
          <w:rFonts w:ascii="Times New Roman" w:cs="Times New Roman" w:eastAsia="Times New Roman" w:hAnsi="Times New Roman"/>
          <w:sz w:val="18"/>
          <w:szCs w:val="18"/>
          <w:color w:val="auto"/>
        </w:rPr>
      </w:pPr>
    </w:p>
    <w:p>
      <w:pPr>
        <w:ind w:left="1620" w:right="260" w:hanging="316"/>
        <w:spacing w:after="0" w:line="261" w:lineRule="auto"/>
        <w:tabs>
          <w:tab w:leader="none" w:pos="1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4, 2024, the Company granted an aggregate of 294,000 PSUs representing a right to receive shares of the Company’s common stock to executive officers of the Company. The PSUs shall vest upon the Company’s common stock achieving and maintaining a specified price per share. The total fair value of these PSUs on the date of grant was $691, using the Monte-Carlo model.</w:t>
      </w:r>
    </w:p>
    <w:p>
      <w:pPr>
        <w:spacing w:after="0" w:line="179" w:lineRule="exact"/>
        <w:rPr>
          <w:rFonts w:ascii="Times New Roman" w:cs="Times New Roman" w:eastAsia="Times New Roman" w:hAnsi="Times New Roman"/>
          <w:sz w:val="18"/>
          <w:szCs w:val="18"/>
          <w:color w:val="auto"/>
        </w:rPr>
      </w:pPr>
    </w:p>
    <w:p>
      <w:pPr>
        <w:ind w:left="1620" w:right="120" w:hanging="316"/>
        <w:spacing w:after="0" w:line="261" w:lineRule="auto"/>
        <w:tabs>
          <w:tab w:leader="none" w:pos="1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30, 2024, the Company granted an aggregate of 3,750 RSUs representing a right to receive shares of the Company’s common stock to one of the Company’s board members. The RSUs granted to the board member will vest in four quarterly installments on each of April 1, 2024, July 1, 2024, October 1, 2024 and January 1, 2025. The total fair value of these RSUs on the date of grant was $11, using the quoted closing market share price of $2.98 on the Nasdaq Capital Market on the date of grant.</w:t>
      </w:r>
    </w:p>
    <w:p>
      <w:pPr>
        <w:spacing w:after="0" w:line="179" w:lineRule="exact"/>
        <w:rPr>
          <w:rFonts w:ascii="Times New Roman" w:cs="Times New Roman" w:eastAsia="Times New Roman" w:hAnsi="Times New Roman"/>
          <w:sz w:val="18"/>
          <w:szCs w:val="18"/>
          <w:color w:val="auto"/>
        </w:rPr>
      </w:pPr>
    </w:p>
    <w:p>
      <w:pPr>
        <w:ind w:left="1620" w:hanging="316"/>
        <w:spacing w:after="0" w:line="256" w:lineRule="auto"/>
        <w:tabs>
          <w:tab w:leader="none" w:pos="1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18, 2024, the Company entered into an at the market offering agreement (the “ATM Agreement”) with Rodman &amp; Renshaw LLC and StockBlock Securities LLC, as agents, pursuant to which the Company may issue and sell shares of its common stock having an aggregate offering price of up to $75,000, through the sales agents, subject to certain terms and conditions. Any shares sold will be sold pursuant to our effective shelf registration statement on Form S-3 including a prospectus dated July 26, 2021 and prospectus supplement dated March 18, 2024. As of March 31, 2024 and through May 9, 2024, no shares were issued under the ATM Agreement.</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73" w:right="39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ORAMED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INTERIM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LEASES:</w:t>
      </w:r>
    </w:p>
    <w:p>
      <w:pPr>
        <w:spacing w:after="0" w:line="229" w:lineRule="exact"/>
        <w:rPr>
          <w:sz w:val="20"/>
          <w:szCs w:val="20"/>
          <w:color w:val="auto"/>
        </w:rPr>
      </w:pPr>
    </w:p>
    <w:p>
      <w:pPr>
        <w:ind w:left="1300" w:right="40"/>
        <w:spacing w:after="0" w:line="282" w:lineRule="auto"/>
        <w:rPr>
          <w:sz w:val="20"/>
          <w:szCs w:val="20"/>
          <w:color w:val="auto"/>
        </w:rPr>
      </w:pPr>
      <w:r>
        <w:rPr>
          <w:rFonts w:ascii="Times New Roman" w:cs="Times New Roman" w:eastAsia="Times New Roman" w:hAnsi="Times New Roman"/>
          <w:sz w:val="18"/>
          <w:szCs w:val="18"/>
          <w:color w:val="auto"/>
        </w:rPr>
        <w:t>The Company has various operating leases for office space and vehicles that expire through 2027. Below is a summary of the Company’s operating right-of-use assets and operating lease liabilities as of March 31, 2024 and December 31,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right-of-use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88"/>
              </w:rPr>
              <w:t>608</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254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long-term</w:t>
            </w:r>
          </w:p>
        </w:tc>
        <w:tc>
          <w:tcPr>
            <w:tcW w:w="120" w:type="dxa"/>
            <w:vAlign w:val="bottom"/>
          </w:tcPr>
          <w:p>
            <w:pPr>
              <w:spacing w:after="0"/>
              <w:rPr>
                <w:sz w:val="19"/>
                <w:szCs w:val="19"/>
                <w:color w:val="auto"/>
              </w:rPr>
            </w:pPr>
          </w:p>
        </w:tc>
        <w:tc>
          <w:tcPr>
            <w:tcW w:w="12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272</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342</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526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609</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300" w:right="40"/>
        <w:spacing w:after="0" w:line="282" w:lineRule="auto"/>
        <w:rPr>
          <w:sz w:val="20"/>
          <w:szCs w:val="20"/>
          <w:color w:val="auto"/>
        </w:rPr>
      </w:pPr>
      <w:r>
        <w:rPr>
          <w:rFonts w:ascii="Times New Roman" w:cs="Times New Roman" w:eastAsia="Times New Roman" w:hAnsi="Times New Roman"/>
          <w:sz w:val="18"/>
          <w:szCs w:val="18"/>
          <w:color w:val="auto"/>
        </w:rPr>
        <w:t>Lease payments for the Company’s right-of-use assets over the remaining lease periods as of March 31, 2024 and December 31, 2023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88"/>
              </w:rPr>
              <w:t>200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8"/>
                <w:szCs w:val="18"/>
                <w:color w:val="auto"/>
              </w:rPr>
            </w:pPr>
          </w:p>
        </w:tc>
        <w:tc>
          <w:tcPr>
            <w:tcW w:w="12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217</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222</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118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120</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20"/>
                <w:szCs w:val="20"/>
                <w:color w:val="auto"/>
              </w:rPr>
            </w:pPr>
          </w:p>
        </w:tc>
        <w:tc>
          <w:tcPr>
            <w:tcW w:w="12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88"/>
              </w:rPr>
              <w:t>545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86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Less: Interest*</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760"/>
              <w:spacing w:after="0" w:line="203" w:lineRule="exact"/>
              <w:rPr>
                <w:sz w:val="20"/>
                <w:szCs w:val="20"/>
                <w:color w:val="auto"/>
              </w:rPr>
            </w:pPr>
            <w:r>
              <w:rPr>
                <w:rFonts w:ascii="Times New Roman" w:cs="Times New Roman" w:eastAsia="Times New Roman" w:hAnsi="Times New Roman"/>
                <w:sz w:val="18"/>
                <w:szCs w:val="18"/>
                <w:color w:val="auto"/>
                <w:w w:val="91"/>
              </w:rPr>
              <w:t>(19</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526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609</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lease payments were discounted by 3%-5.75% interest rate.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ORAMED PHARMACEUTICALS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INTERIM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RELATED PARTY TRANSACTIONS:</w:t>
      </w:r>
    </w:p>
    <w:p>
      <w:pPr>
        <w:spacing w:after="0" w:line="229" w:lineRule="exact"/>
        <w:rPr>
          <w:sz w:val="20"/>
          <w:szCs w:val="20"/>
          <w:color w:val="auto"/>
        </w:rPr>
      </w:pPr>
    </w:p>
    <w:p>
      <w:pPr>
        <w:ind w:left="1300" w:right="40"/>
        <w:spacing w:after="0" w:line="256" w:lineRule="auto"/>
        <w:rPr>
          <w:sz w:val="20"/>
          <w:szCs w:val="20"/>
          <w:color w:val="auto"/>
        </w:rPr>
      </w:pPr>
      <w:r>
        <w:rPr>
          <w:rFonts w:ascii="Times New Roman" w:cs="Times New Roman" w:eastAsia="Times New Roman" w:hAnsi="Times New Roman"/>
          <w:sz w:val="18"/>
          <w:szCs w:val="18"/>
          <w:color w:val="auto"/>
        </w:rPr>
        <w:t>On July 1, 2008, the Company’s wholly-owned subsidiary, Oramed Ltd. (the “Subsidiary”), entered into a consulting agreement with KNRY Ltd. (“KNRY”), an Israeli company owned by the Chief Scientific Officer, whereby the Chief Scientific Officer, through KNRY, provides services to the Company (the “Consulting Agreement”). The Consulting Agreement is terminable by either party upon 140 days prior written notice. The Consulting Agreement, as amended, provide that KNRY will be reimbursed for reasonable expenses incurred in connection with the performance of the Consulting Agreement and the monthly consulting fee paid to the Chief Scientific Officer is NIS 117,040 ($32).</w:t>
      </w:r>
    </w:p>
    <w:p>
      <w:pPr>
        <w:spacing w:after="0" w:line="187" w:lineRule="exact"/>
        <w:rPr>
          <w:sz w:val="20"/>
          <w:szCs w:val="20"/>
          <w:color w:val="auto"/>
        </w:rPr>
      </w:pPr>
    </w:p>
    <w:p>
      <w:pPr>
        <w:ind w:left="1300"/>
        <w:spacing w:after="0" w:line="255" w:lineRule="auto"/>
        <w:rPr>
          <w:sz w:val="20"/>
          <w:szCs w:val="20"/>
          <w:color w:val="auto"/>
        </w:rPr>
      </w:pPr>
      <w:r>
        <w:rPr>
          <w:rFonts w:ascii="Times New Roman" w:cs="Times New Roman" w:eastAsia="Times New Roman" w:hAnsi="Times New Roman"/>
          <w:sz w:val="18"/>
          <w:szCs w:val="18"/>
          <w:color w:val="auto"/>
        </w:rPr>
        <w:t>Effective November 1, 2022, the Company entered into a consulting agreement with Shnida Ltd., whereby the President and Chief Executive Officer, through Shnida Ltd., provides services as President and Chief Executive Officer of the Company. The agreement is terminable by either party upon 140 days prior written notice. The agreement, as amended, provides that Shnida Ltd. will be reimbursed for reasonable expenses incurred in connection with performance of the agreement and that the President and Chief Executive Officer will receive a monthly consulting fee of NIS 96,825 ($26), plus value added tax. Pursuant to the agreement, Shnida Ltd. and the President and Chief Executive Officer each agree that during the term of the agreement and for a 12-month period thereafter, none of them will compete with the Company nor solicit employees of the Company.</w:t>
      </w:r>
    </w:p>
    <w:p>
      <w:pPr>
        <w:spacing w:after="0" w:line="189" w:lineRule="exact"/>
        <w:rPr>
          <w:sz w:val="20"/>
          <w:szCs w:val="20"/>
          <w:color w:val="auto"/>
        </w:rPr>
      </w:pPr>
    </w:p>
    <w:p>
      <w:pPr>
        <w:ind w:left="1300" w:right="340"/>
        <w:spacing w:after="0" w:line="258" w:lineRule="auto"/>
        <w:rPr>
          <w:sz w:val="20"/>
          <w:szCs w:val="20"/>
          <w:color w:val="auto"/>
        </w:rPr>
      </w:pPr>
      <w:r>
        <w:rPr>
          <w:rFonts w:ascii="Times New Roman" w:cs="Times New Roman" w:eastAsia="Times New Roman" w:hAnsi="Times New Roman"/>
          <w:sz w:val="18"/>
          <w:szCs w:val="18"/>
          <w:color w:val="auto"/>
        </w:rPr>
        <w:t>In addition, the Company, through the Subsidiary, has entered into an employment agreement with the President and Chief Executive Officer, effective as of November 1, 2022, as amended, pursuant to which the President and Chief Executive Officer receives gross monthly salary of NIS 51,591 ($14) in consideration for his services as President and Chief Executive Officer of the Subsidiary. In addition, the President and Chief Executive Officer is provided with a cellular phone and a company car pursuant to the terms of his agreement.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ITEM 2 - MANAGEMENT’S DISCUSSION AND ANALYSIS OF FINANCIAL CONDITION AND RESULTS OF OPERATIONS</w:t>
      </w:r>
    </w:p>
    <w:p>
      <w:pPr>
        <w:spacing w:after="0" w:line="227" w:lineRule="exact"/>
        <w:rPr>
          <w:sz w:val="20"/>
          <w:szCs w:val="20"/>
          <w:color w:val="auto"/>
        </w:rPr>
      </w:pPr>
    </w:p>
    <w:p>
      <w:pPr>
        <w:ind w:right="2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condensed consolidated financial statements and the related notes included elsewhere herein and in our consolidated financial statements, accompanying notes and “Management’s Discussion and Analysis of Financial Condition and Results of Operations” contained in our Annual Report.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Operations</w:t>
      </w:r>
    </w:p>
    <w:p>
      <w:pPr>
        <w:spacing w:after="0" w:line="22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We are a pharmaceutical company engaged in the research and development of innovative pharmaceutical solutions with a technology platform that allows for the oral delivery of therapeutic proteins.</w:t>
      </w:r>
    </w:p>
    <w:p>
      <w:pPr>
        <w:spacing w:after="0" w:line="162" w:lineRule="exact"/>
        <w:rPr>
          <w:sz w:val="20"/>
          <w:szCs w:val="20"/>
          <w:color w:val="auto"/>
        </w:rPr>
      </w:pPr>
    </w:p>
    <w:p>
      <w:pPr>
        <w:jc w:val="both"/>
        <w:ind w:right="440" w:firstLine="648"/>
        <w:spacing w:after="0" w:line="266" w:lineRule="auto"/>
        <w:rPr>
          <w:sz w:val="20"/>
          <w:szCs w:val="20"/>
          <w:color w:val="auto"/>
        </w:rPr>
      </w:pPr>
      <w:r>
        <w:rPr>
          <w:rFonts w:ascii="Times New Roman" w:cs="Times New Roman" w:eastAsia="Times New Roman" w:hAnsi="Times New Roman"/>
          <w:sz w:val="18"/>
          <w:szCs w:val="18"/>
          <w:color w:val="auto"/>
        </w:rPr>
        <w:t>We have developed an oral dosage form intended to withstand the harsh environment of the stomach and effectively deliver active biological insulin or other proteins. The excipients in the formulation are not intended to modify the proteins chemically or biologically, and the dosage form is designed to be safe to ingest.</w:t>
      </w:r>
    </w:p>
    <w:p>
      <w:pPr>
        <w:spacing w:after="0" w:line="176"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On January 11, 2023, we announced that the ORA-D-013-1 Phase 3 trial did not meet its primary or secondary endpoints. As a result, we terminated this trial and a parallel Phase 3, ORA-D-013-2 clinical trial. In 2023, we completed an analysis of the data from the ORA-D-013-1 Phase 3 trial and found that subpopulations of patients with pooled specific parameters, such as body mass index, or BMI, baseline HbA1c and age, responded well to oral insulin. Based on this analysis, we are working on a protocol for a new Phase 3 clinical trial to be submitted to the FDA. We are additionally examining our existing pipeline and have commenced an evaluation process of potential strategic opportunities, with the goal of enhancing value for our stockholders.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Scilex Transaction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August 7, 2023, we entered into a Stock Purchase Agreement, as subsequently amended on August 9, 2023 and August 21, 2023, or the Sorrento SPA, with Sorrento Therapeutics, Inc., or Sorrento, to acquire certain equity securities of Scilex owned by Sorrento, or the Purchased Securities, for a purchase price of $105 million. Sorrento and its affiliated debtor, Scintilla Pharmaceuticals, Inc., or Scintilla and together with Sorrento, the Debtors, are in Chapter 11 bankruptcy proceedings.</w:t>
      </w:r>
    </w:p>
    <w:p>
      <w:pPr>
        <w:spacing w:after="0" w:line="180"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On August 9, 2023, we entered into a Senior Secured, Super-Priority Debtor-in-Possession Loan and Security Agreement, or the Senior DIP Loan Agreement, with the Debtors in the principal amount of $100 million, which included a non-refundable closing fee of $450,000 paid in full out of the proceeds. This amount was subsequently drawn in full by the Debtors and was intended to be used by us as a credit for the consideration for the Purchased Securities, with an additional $5,000,000 in cash to be paid by us at closing. Thereafter, we and Sorrento continued discussions and negotiations relating to the sale contemplated under the Sorrento SPA.</w:t>
      </w:r>
    </w:p>
    <w:p>
      <w:pPr>
        <w:spacing w:after="0" w:line="183"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On September 21, 2023, or the Closing Date, we entered into and consummated the transactions, or, collectively, the Transaction, contemplated by a Securities Purchase Agreement, or the Scilex SPA, with Scilex and Acquiom Agency Services LLC. Pursuant to the Scilex SPA, in exchange for Scilex assuming Sorrento’s outstanding obligations under the Senior DIP Loan Agreement, or the DIP Assumption, and for the ability to credit the amounts assumed under the DIP Assumption in exchange for certain equity securities of Scilex owned by Sorrento, Scilex (i) issued to us (A) a Senior Secured Promissory Note due 18 months from the date of issuance in the principal amount of $101,875,000, or the Note, which includes accrued and unpaid interest of $875,000 under the Senior DIP Loan Agreement and $1,000,000 of fees added to the principal amount of the Note, (B) a warrant to purchase up to an aggregate of 4,500,000 shares of common stock of Scilex, par value $0.0001 per share, or the Scilex Common Stock, and containing certain restrictions on exercisability, or the Closing Penny Warrant, and (C) warrants to purchase up to an aggregate of 8,500,000 shares of Scilex Common Stock, or the Subsequent Penny Warrants, and, together with the Closing Penny Warrant, the Penny Warrants, each with an exercise price of $0.01 per share and each with certain restrictions on exercisability, and (ii) caused certain outstanding warrants to purchase up to an aggregate of 4,000,000 shares of Scilex Common Stock with an exercise price of $11.50 per share to be transferred to us, or the Transferred Warrants and together with the Penny Warrants, the Warrants. In addition, on the Closing Date, Scilex reimbursed $1,910,000 of the Company’s Transaction expenses pursuant to the Scilex SPA.</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2" w:name="page23"/>
    <w:bookmarkEnd w:id="22"/>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Pursuant to the terms of the Scilex SPA, Scilex agreed to certain restrictions on additional issuances of equity securities. In connection with the Transaction, we and Sorrento mutually agreed to terminate the Sorrento SPA and to release all claims we and Sorrento may have against one another, and Scilex completed the acquisition of the Purchased Securities.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Senior Secured Promissory Note</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Note matures on March 21, 2025 or upon an uncured event of default, subject to certain mandatory prepayments, and bears interest at a rate per annum equal to Term SOFR (as defined in the Note) plus 8.5% (subject to a Term SOFR floor of 4.0%), to be paid in-kind, by being capitalized and added to the principal amount of the Note on a monthly basis. The Scilex SPA provides for principal payments of (i) $5 million on December 21, 2023, (ii) $15 million on March 21, 2024, and (iii) $20 million on each of June 21, 2024, September 21, 2024, and December 21, 2024, and for the entire remaining principal balance of the Note to be paid on March 21, 2025. If the Note is not repaid in full on or prior to March 21, 2024, an exit fee equal to $3,056,250 shall be payable upon repayment of the Note in full.</w:t>
      </w:r>
    </w:p>
    <w:p>
      <w:pPr>
        <w:spacing w:after="0" w:line="187"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Note constitutes senior secured indebtedness of Scilex and is guaranteed by all existing or future formed, direct and indirect, domestic subsidiaries of Scilex and is secured by a first priority security interest in and liens on all of the assets of Scilex, subject to customary and mutually agreed permitted liens and except for certain specified exemptions.</w:t>
      </w:r>
    </w:p>
    <w:p>
      <w:pPr>
        <w:spacing w:after="0" w:line="176" w:lineRule="exact"/>
        <w:rPr>
          <w:sz w:val="20"/>
          <w:szCs w:val="20"/>
          <w:color w:val="auto"/>
        </w:rPr>
      </w:pPr>
    </w:p>
    <w:p>
      <w:pPr>
        <w:ind w:right="400" w:firstLine="648"/>
        <w:spacing w:after="0" w:line="289" w:lineRule="auto"/>
        <w:rPr>
          <w:sz w:val="20"/>
          <w:szCs w:val="20"/>
          <w:color w:val="auto"/>
        </w:rPr>
      </w:pPr>
      <w:r>
        <w:rPr>
          <w:rFonts w:ascii="Times New Roman" w:cs="Times New Roman" w:eastAsia="Times New Roman" w:hAnsi="Times New Roman"/>
          <w:sz w:val="17"/>
          <w:szCs w:val="17"/>
          <w:color w:val="auto"/>
        </w:rPr>
        <w:t>Mandatory prepayments under the Note are required following the earlier of (a) April 1, 2024 and (b) the date upon which certain of Scilex’s outstanding indebtedness is repaid in full). Voluntary prepayments may be made at Scilex’s discretion; provided that, if made prior to the one-year anniversary of the Closing Date, Scilex will also be required to pay a customary 50% interest make-whole on the portion of the Note so prepaid.</w:t>
      </w:r>
    </w:p>
    <w:p>
      <w:pPr>
        <w:spacing w:after="0" w:line="158"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18"/>
          <w:szCs w:val="18"/>
          <w:color w:val="auto"/>
        </w:rPr>
        <w:t>The Note includes customary events of default, upon which the Note will bear interest at a default rate of Term SOFR plus 15.0%, which shall be payable in-kind, by being capitalized and added to the principal amount of the Note on a monthly basis. If the Note is accelerated upon an event of default, Scilex is required to repay the principal amount of the Note at a mandatory default rate of 125% of such principal amount (together with 100% of accrued and unpaid interest thereon and all other amounts due in respect of the Note).</w:t>
      </w:r>
    </w:p>
    <w:p>
      <w:pPr>
        <w:spacing w:after="0" w:line="180"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Until the obligations under the Note are repaid in full, we have the right to designate one non-voting observer, to attend meetings of the board of directors and committees of Scilex and its subsidiaries.</w:t>
      </w:r>
    </w:p>
    <w:p>
      <w:pPr>
        <w:spacing w:after="0" w:line="162"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Pursuant to the terms of the Note, we received the first principal payment of $5 million on December 21, 2023 and the second principal payment of $15 million prior to March 21, 2024. On May 2, 2024, we received a payment of approximately $9.6 million from Scilex in accordance with the mandatory prepayment requirements under the Note.</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Closing Penny Warrant will be exercisable upon the earliest of (i) March 14, 2025, (ii) the date on which the Note has been repaid in full and</w:t>
      </w:r>
    </w:p>
    <w:p>
      <w:pPr>
        <w:spacing w:after="0" w:line="27" w:lineRule="exact"/>
        <w:rPr>
          <w:sz w:val="20"/>
          <w:szCs w:val="20"/>
          <w:color w:val="auto"/>
        </w:rPr>
      </w:pPr>
    </w:p>
    <w:p>
      <w:pPr>
        <w:ind w:right="180" w:firstLine="8"/>
        <w:spacing w:after="0" w:line="252" w:lineRule="auto"/>
        <w:tabs>
          <w:tab w:leader="none" w:pos="3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Management Sale Trigger Date (as defined therein), if any, and will expire on the date that is the fifth anniversary of the issuance date. For purposes of the Penny Warrants, the Management Sale Trigger Date is generally the first date that either Dr. Henry Ji, Scilex’s Executive Chairperson, or Mr. Jaisim Shah, Scilex’s Chief Executive Officer and President and a member of Scilex’s Board of Directors, engages in certain sales or other similar transfers of shares of Scilex Common Stock or other of Scilex’s or any of its subsidiaries’ securities, subject to certain exceptions as are customary for lock-up agreements executed by directors and officers in connection with financings or similar transactions. The exercise price of the Closing Penny Warrant is $0.01 per share, subject to adjustment.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Oral Insulin</w:t>
      </w:r>
    </w:p>
    <w:p>
      <w:pPr>
        <w:spacing w:after="0" w:line="22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Type 2 Diabetes</w:t>
      </w:r>
      <w:r>
        <w:rPr>
          <w:rFonts w:ascii="Times New Roman" w:cs="Times New Roman" w:eastAsia="Times New Roman" w:hAnsi="Times New Roman"/>
          <w:sz w:val="18"/>
          <w:szCs w:val="18"/>
          <w:color w:val="auto"/>
        </w:rPr>
        <w:t>: We conducted the ORA-D-013-1 Phase 3 trial on patients with type 2 diabetes, or T2D, with inadequate glycaemic control who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were on two or three oral glucose-lowering agents. The primary endpoint of the trial was to evaluate the efficacy of our oral insulin capsule, ORMD-0801, compared to placebo in improving glycaemic control as assessed by HbA1c, with a secondary efficacy endpoint of assessing the change from baseline in fasting plasma glucose at 26 weeks. On January 11, 2023, we announced that the ORA-D-013-1 Phase 3 trial did not meet its primary or secondary endpoints. Following the results of the ORA-D-013-1 Phase 3 trial, we also terminated the ORA-D-013-2 Phase 3 trial, a second Phase 3 trial that included T2D patients with inadequate glycaemic control who were attempting to manage their condition with either diet alone or with diet and metformin. In 2023, we completed an analysis of the data from the ORA-D-013-1 Phase 3 trial and found that subpopulations of patients with pooled specific parameters, such as BMI, baseline HbA1c and age, responded well to oral insulin. These subsets exhibited an over 1% placebo adjusted, statistically significant, reduction in HbA1c. Based on this analysis, we are working on a protocol for a new Phase 3 clinical trial to be submitted to the FDA.</w:t>
      </w: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sectPr>
      </w:pPr>
    </w:p>
    <w:bookmarkStart w:id="23" w:name="page24"/>
    <w:bookmarkEnd w:id="23"/>
    <w:p>
      <w:pPr>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Joint Venture Agreement</w:t>
      </w:r>
      <w:r>
        <w:rPr>
          <w:rFonts w:ascii="Times New Roman" w:cs="Times New Roman" w:eastAsia="Times New Roman" w:hAnsi="Times New Roman"/>
          <w:sz w:val="18"/>
          <w:szCs w:val="18"/>
          <w:color w:val="auto"/>
        </w:rPr>
        <w:t>: On January 22, 2024, Oramed and its wholly-owned subsidiary, Oramed Ltd., entered into a joint venture agreement,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JV Agreement, with HTIT Biotech and Technowl Limited, a wholly-owned indirect subsidiary of HTIT Biotech, or HTIT Sub, and together with HTIT Biotech, HTIT, pursuant to which, subject to the terms and conditions set forth in the JV Agreement, the parties will establish a joint venture, or the JV, based on Oramed’s oral drug delivery technology.</w:t>
      </w:r>
    </w:p>
    <w:p>
      <w:pPr>
        <w:spacing w:after="0" w:line="18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JV will focus on the development and worldwide commercialization of innovative products based on Oramed’s oral insulin and POD™ (Protein Oral Delivery) pipeline and HTIT’s manufacturing capabilities and technologies. The parties intend for the JV to use the protocol we are currently working on to initiate a Phase 3 oral insulin trial in the United States.</w:t>
      </w:r>
    </w:p>
    <w:p>
      <w:pPr>
        <w:spacing w:after="0" w:line="176"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Oramed and HTIT will initially hold equal shares in the JV, with each owning 50% of the equity. The board of directors will initially consist of equal representation from HTIT and Oramed. HTIT will contribute to the JV $70 million in cash, while Oramed will contribute $20 million (comprised of $10 million in cash and $10 million in shares of Oramed common stock that will be subject to certain registration rights) and will transfer intellectual property related to its oral insulin and POD™ technology, as well as other assets in the Oramed pipeline. HTIT will have an option to invest additional funds into the JV up to an aggregate amount of $20 million, thereby increasing its equity holdings and board representation. Oramed will be entitled to receive a 3% royalty on gross revenues of the JV generated from Oramed related assets.</w:t>
      </w:r>
    </w:p>
    <w:p>
      <w:pPr>
        <w:spacing w:after="0" w:line="18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consummation of the JV Agreement is subject to and contingent upon the parties entering into additional agreements within a three-month period, including an asset transfer agreement for the transfer of Oramed’s intellectual property to the JV, a commercial supply agreement for the manufacture and supply of products by HTIT to the JV, as well as other documents and agreements to regulate the relationship of the parties and the JV to be formed pursuant to the JV Agreement. There is no assurance that the parties will complete and sign these additional agreements within the agreed timeline or at all. If such agreements are not signed within the agreed timeframe, then either party may apply a 30-day extension, after which the JV Agreement may be terminated and voided by either party. The 30-day extension was applied by the Company on April 18, 2024 and will last until May 22, 2024. Thereafter, the consummation of the JV transaction is further subject to the satisfaction or waiver of certain other closing conditions within a three-month period following the completion of the aforesaid ancillary agreements. If the closing conditions are not met within the agreed timeframe, then either party may apply a 30-day extension, after which the JV Agreement may be terminated and voided by either party. In addition, completion of the transactions contemplated under the JV Agreement is subject to the satisfaction or waiver of customary and certain other closing conditions.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Oral Vaccine</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On March 18, 2021, we entered into a license agreement, or the Oravax License Agreement, with Oravax, a 63% owned joint venture to commercialize oral vaccines for COVID-19 and other novel coronaviruses based on Premas Biotech Pvt. Ltd.’s proprietary vaccine technology involving a triple antigen virus like particle.</w:t>
      </w: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875" w:right="419" w:bottom="1440" w:gutter="0" w:footer="0" w:header="0"/>
        </w:sectPr>
      </w:pPr>
    </w:p>
    <w:bookmarkStart w:id="24" w:name="page25"/>
    <w:bookmarkEnd w:id="24"/>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In October 2022, Oravax reported positive preliminary Phase 1 data for Cohort A of a Phase 1 clinical trial, meeting primary or secondary endpoints of safety and immunogenicity. These results included significant antibody response (2-6 fold over baseline) as measured by multiple markers of immune response to virus like particle vaccine antigens observed in the majority of the patients dosed, and no safety issues were observed, including mild symptoms. Cohort B completed dosing in January 2023. Cohort B measured Immunoglobulin G, or IGG, against the spike (S) protein, showing positive IGG in approximately 55% of the patients dosed. We are currently evaluating our path forward for Oravax’s oral vaccines for COVID-19.</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PeriTech Acquisition and License</w:t>
      </w:r>
    </w:p>
    <w:p>
      <w:pPr>
        <w:spacing w:after="0" w:line="229"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In December 2023, we executed and completed an agreement with PeriTech Pharma Ltd., or PeriTech, acquiring the rights to their film-forming technology tailored for the delivery of topical/dermatology agents. This includes a once-daily over-the-counter treatment for hemorrhoids. The PeriTech pipeline extends its potential applications to include indications such as pruritus ani, anal warts, anal fissures and herpes labialis.</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have entered into an exclusive licensing agreement with Genomma Lab Internacional S.A.B. de C.V, or Genomma Labs, pursuant to which we granted Genomma Labs the development and commercialization rights to the PeriTech pipeline, in exchange for a royalty based on net sales.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Raw Materials</w:t>
      </w:r>
    </w:p>
    <w:p>
      <w:pPr>
        <w:spacing w:after="0" w:line="229"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We have purchased, pursuant to separate agreements with third parties, the raw materials required for the manufacturing of our oral capsule. We generally depend upon a limited number of suppliers for the raw materials. Although alternative sources of supply for these materials are generally available, we could incur significant costs and disruptions if we need to change suppliers. The termination of our relationships with our suppliers or the failure of these suppliers to meet our requirements for raw materials on a timely and cost-effective basis could have a material adverse effect on our business, prospects,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Current Events</w:t>
      </w:r>
    </w:p>
    <w:p>
      <w:pPr>
        <w:spacing w:after="0" w:line="229"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On October 7, 2023, the State of Israel was attacked by and subsequently declared war on Hamas. Israel has been in an ongoing state of war with Hamas since that time. Following the attack by Hamas, Hezbollah has also launched attacks against Israel and Israel has been responding to these attacks with targeted air strikes. It is possible that other terrorist organizations, including Palestinian military organizations in the West Bank, as well as other hostile countries, such as Iran, will join the hostilities. As of May 9, 2024, we believe that there is no immediate risk to our business operations related to these events. For further information, see “Item 1A. Risk Factors,” under “We are affected by the political, economic and military risks of having operations in Israel” in our Annual Report, as filed with the Securities and Exchange Commission, or the SEC, on March 6, 2024.</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 periods ended March 31, 2024 and March 31, 2023</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certain statements of operations data of the Company for the three month periods ended March 31,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2023 (in thousands of dollars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40" w:type="dxa"/>
            <w:vAlign w:val="bottom"/>
            <w:gridSpan w:val="5"/>
          </w:tcPr>
          <w:p>
            <w:pPr>
              <w:jc w:val="right"/>
              <w:ind w:right="501"/>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194"/>
        </w:trPr>
        <w:tc>
          <w:tcPr>
            <w:tcW w:w="86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right"/>
              <w:ind w:right="380"/>
              <w:spacing w:after="0" w:line="194"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90"/>
              <w:spacing w:after="0" w:line="194"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80" w:type="dxa"/>
            <w:vAlign w:val="bottom"/>
          </w:tcPr>
          <w:p>
            <w:pPr>
              <w:spacing w:after="0"/>
              <w:rPr>
                <w:sz w:val="16"/>
                <w:szCs w:val="16"/>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(1,179)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(4,427)</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(184)</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(1,783)</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(1,263)</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expenses</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(592)</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income, net</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5,088</w:t>
            </w:r>
          </w:p>
        </w:tc>
        <w:tc>
          <w:tcPr>
            <w:tcW w:w="140" w:type="dxa"/>
            <w:vAlign w:val="bottom"/>
            <w:shd w:val="clear" w:color="auto" w:fill="CCEEFF"/>
          </w:tcPr>
          <w:p>
            <w:pPr>
              <w:spacing w:after="0"/>
              <w:rPr>
                <w:sz w:val="21"/>
                <w:szCs w:val="21"/>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income (loss) for the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1,534</w:t>
            </w:r>
          </w:p>
        </w:tc>
        <w:tc>
          <w:tcPr>
            <w:tcW w:w="2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(3,611</w:t>
            </w:r>
          </w:p>
        </w:tc>
        <w:tc>
          <w:tcPr>
            <w:tcW w:w="80" w:type="dxa"/>
            <w:vAlign w:val="bottom"/>
            <w:tcBorders>
              <w:top w:val="single" w:sz="8" w:color="CCEEFF"/>
              <w:bottom w:val="single" w:sz="8" w:color="CCEEFF"/>
            </w:tcBorders>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income (loss) per share of common stock</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(0.08)</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Diluted income (loss) per share of common stock</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(0.08)</w:t>
            </w:r>
          </w:p>
        </w:tc>
      </w:tr>
      <w:tr>
        <w:trPr>
          <w:trHeight w:val="198"/>
        </w:trPr>
        <w:tc>
          <w:tcPr>
            <w:tcW w:w="8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shares of common stock outstanding used in computing basic income (loss) per share of common</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40,835,953</w:t>
            </w:r>
          </w:p>
        </w:tc>
        <w:tc>
          <w:tcPr>
            <w:tcW w:w="140" w:type="dxa"/>
            <w:vAlign w:val="bottom"/>
            <w:shd w:val="clear" w:color="auto" w:fill="CCEEFF"/>
          </w:tcPr>
          <w:p>
            <w:pPr>
              <w:spacing w:after="0"/>
              <w:rPr>
                <w:sz w:val="20"/>
                <w:szCs w:val="20"/>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40,041,258</w:t>
            </w:r>
          </w:p>
        </w:tc>
        <w:tc>
          <w:tcPr>
            <w:tcW w:w="80" w:type="dxa"/>
            <w:vAlign w:val="bottom"/>
            <w:shd w:val="clear" w:color="auto" w:fill="CCEEFF"/>
          </w:tcPr>
          <w:p>
            <w:pPr>
              <w:spacing w:after="0"/>
              <w:rPr>
                <w:sz w:val="20"/>
                <w:szCs w:val="20"/>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shares of common stock outstanding used in computing diluted income (loss) per share of common</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8"/>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w:t>
            </w: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41,564,007</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40,041,258</w:t>
            </w:r>
          </w:p>
        </w:tc>
        <w:tc>
          <w:tcPr>
            <w:tcW w:w="80" w:type="dxa"/>
            <w:vAlign w:val="bottom"/>
          </w:tcPr>
          <w:p>
            <w:pPr>
              <w:spacing w:after="0"/>
              <w:rPr>
                <w:sz w:val="21"/>
                <w:szCs w:val="21"/>
                <w:color w:val="auto"/>
              </w:rPr>
            </w:pPr>
          </w:p>
        </w:tc>
      </w:tr>
      <w:tr>
        <w:trPr>
          <w:trHeight w:val="27"/>
        </w:trPr>
        <w:tc>
          <w:tcPr>
            <w:tcW w:w="8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ind w:right="520" w:firstLine="648"/>
        <w:spacing w:after="0" w:line="261" w:lineRule="auto"/>
        <w:rPr>
          <w:sz w:val="20"/>
          <w:szCs w:val="20"/>
          <w:color w:val="auto"/>
        </w:rPr>
      </w:pPr>
      <w:r>
        <w:rPr>
          <w:rFonts w:ascii="Times New Roman" w:cs="Times New Roman" w:eastAsia="Times New Roman" w:hAnsi="Times New Roman"/>
          <w:sz w:val="18"/>
          <w:szCs w:val="18"/>
          <w:color w:val="auto"/>
        </w:rPr>
        <w:t>Revenues consist of proceeds related to the Amended and Restated Technology License Agreement, dated December 21, 2015, between the Company and HTIT, or as further amended by the parties on June 3, 2016 and July 24, 2016, the HTIT License Agreement, that are recognized on a cumulative basis when it is probable that a significant reversal in the amount of cumulative revenue recognized will not occur, through the expected product submission date by HTIT of June 2023, using the input method.</w:t>
      </w:r>
    </w:p>
    <w:p>
      <w:pPr>
        <w:spacing w:after="0" w:line="180" w:lineRule="exact"/>
        <w:rPr>
          <w:sz w:val="20"/>
          <w:szCs w:val="20"/>
          <w:color w:val="auto"/>
        </w:rPr>
      </w:pPr>
    </w:p>
    <w:p>
      <w:pPr>
        <w:ind w:right="60" w:firstLine="690"/>
        <w:spacing w:after="0" w:line="282" w:lineRule="auto"/>
        <w:rPr>
          <w:sz w:val="20"/>
          <w:szCs w:val="20"/>
          <w:color w:val="auto"/>
        </w:rPr>
      </w:pPr>
      <w:r>
        <w:rPr>
          <w:rFonts w:ascii="Times New Roman" w:cs="Times New Roman" w:eastAsia="Times New Roman" w:hAnsi="Times New Roman"/>
          <w:sz w:val="18"/>
          <w:szCs w:val="18"/>
          <w:color w:val="auto"/>
        </w:rPr>
        <w:t>There were no revenues for the three month period ended March 31, 2024 while revenues were $666,000 for the three month period ended March 31, 2023. The decrease was due to recognition of revenues until the product submission date by HTIT of June 2023.</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29"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Cost of revenues consists of royalties related to the HTIT License Agreement that will be paid over the term of the HTIT License Agreement in accordance with revenue recognition accounting and the Israeli Law for the Encouragement of Industrial Research, Development and Technological Innovation, 1984, as amended, including any regulations or investment tracks promulgated thereunder.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was no cost of revenues for the three month periods ended March 31, 2024 and March 31, 2023.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6" w:name="page27"/>
    <w:bookmarkEnd w:id="26"/>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include costs directly attributable to the conduct of research and development programs, including the cost of salaries, employee benefits, costs of materials, supplies, the cost of services provided by outside contractors, including services related to our clinical trials, clinical trial expenses, the full cost of manufacturing drugs for use in research and preclinical development. All costs associated with research and development are expensed as incurred.</w:t>
      </w:r>
    </w:p>
    <w:p>
      <w:pPr>
        <w:spacing w:after="0" w:line="18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Clinical trial costs are a significant component of research and development expenses and include costs associated with third-party contractors. We outsource a substantial portion of our clinical trial activities, utilizing external entities such as contract research organizations, or CROs, independent clinical investigators and other third-party service providers to assist us with the execution of our clinical trials.</w:t>
      </w:r>
    </w:p>
    <w:p>
      <w:pPr>
        <w:spacing w:after="0" w:line="176"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Clinical activities, which relate principally to clinical sites and other administrative functions to manage our clinical trials, are performed primarily by CROs. CROs typically perform most of the start-up activities for our trials, including document preparation, site identification, screening and preparation, pre-trial visits, training and program management.</w:t>
      </w:r>
    </w:p>
    <w:p>
      <w:pPr>
        <w:spacing w:after="0" w:line="176"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Clinical trial and preclinical trial expenses include regulatory and scientific consultants’ compensation and fees, research expenses, purchase of materials, cost of manufacturing of the oral insulin and exenatide capsules, payments for patient recruitment and treatment, as well as salaries and related expenses of research and development staff.</w:t>
      </w:r>
    </w:p>
    <w:p>
      <w:pPr>
        <w:spacing w:after="0" w:line="176"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for the three month period ended March 31, 2024 decreased by 73% to $1,179,000, compared to $4,427,000 for the three month period ended March 31, 2023. The decrease was mainly due to lower expenses related to the Phase 3 trials that were terminated. Stock-based compensation expenses for the three month period ended March 31, 2024 were $704,000, compared to $17,000 during the three month period ended March 31, 2023. This increase was mainly due equity grants during the period ended March 31, 2024 and to performance equity awards that did not meet their performance conditions during the period ended March 31, 2023.</w:t>
      </w:r>
    </w:p>
    <w:p>
      <w:pPr>
        <w:spacing w:after="0" w:line="183"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Following the results of the ORA-D-013-1 Phase 3 trial, which did not meet its primary and secondary endpoints, we terminated both ORA-D-013-1 and ORA-D-013-2 Phase 3 clinical trials. We recently completed an analysis of the data from the ORA-D-013-1 Phase 3 trial and found that subpopulations of patients with pooled specific parameters responded well to oral insulin. Based on this analysis, we are working on a protocol for a new Phase 3 clinical trial to be submitted to the FDA. We are additionally examining our existing pipeline and have commenced an evaluation process of potential strategic opportunities, with the goal of enhancing value for our stockholders.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7" w:name="page28"/>
    <w:bookmarkEnd w:id="27"/>
    <w:p>
      <w:pPr>
        <w:ind w:left="660"/>
        <w:spacing w:after="0"/>
        <w:rPr>
          <w:sz w:val="20"/>
          <w:szCs w:val="20"/>
          <w:color w:val="auto"/>
        </w:rPr>
      </w:pPr>
      <w:r>
        <w:rPr>
          <w:rFonts w:ascii="Times New Roman" w:cs="Times New Roman" w:eastAsia="Times New Roman" w:hAnsi="Times New Roman"/>
          <w:sz w:val="18"/>
          <w:szCs w:val="18"/>
          <w:i w:val="1"/>
          <w:iCs w:val="1"/>
          <w:color w:val="auto"/>
        </w:rPr>
        <w:t>Government grants</w:t>
      </w:r>
    </w:p>
    <w:p>
      <w:pPr>
        <w:spacing w:after="0" w:line="227"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In the three month periods ended March 31, 2024 and March 31, 2023, we did not recognize any research and development grants. As of March 31, 2024, we had incurred liabilities to pay royalties to the Israel Innovation Authority of the Israeli Ministry of Economy and Industry of $59,000.</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p>
    <w:p>
      <w:pPr>
        <w:spacing w:after="0" w:line="229"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Sales and marketing expenses include the salaries and related expenses of our commercial functions, consulting expenses and other general expenses.</w:t>
      </w:r>
    </w:p>
    <w:p>
      <w:pPr>
        <w:spacing w:after="0" w:line="1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did not recognize any sales and marketing expenses for the three month period ended March 31, 2024 compared to expenses of $184,000 for the three month period ended March 31, 2023. This was primarily due to the termination of the employment of an executive officer in fiscal year 2023. We did not recognize any stock-based compensation expenses for the three month period ended March 31, 2024, compared to expenses of $88,000 for the three month period ended March 31, 2023. This was primarily due to the termination of the employment of an executive officer.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include the salaries and related expenses of our management, consulting expenses, legal and professional fees, travel expenses, business development expenses, insurance expenses and other general expenses.</w:t>
      </w:r>
    </w:p>
    <w:p>
      <w:pPr>
        <w:spacing w:after="0" w:line="162"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for the three month period ended March 31, 2024 increased by 41% to $1,783,000 compared to $1,263,000 for the three month period ended March 31, 2023. The increase was mainly due to higher stock-based compensation expenses. Stock-based compensation expenses for the three month period ended March 31, 2024 were $590,000, compared to $67,000 for the three month period ended March 31, 2023. This increase was mainly due to equity grants during the period ended March 31, 2024 and to performance equity awards that did not meet their performance conditions during the period ended March 31, 2023.</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Interest expenses were $592 for the three month period ended March 31, 2024, while there were no interest expenses for the three and three month period ended March 31, 2023. The increase was mainly due to interest on the Short-Term Borrowings.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5" w:right="359" w:bottom="1440" w:gutter="0" w:footer="0" w:header="0"/>
        </w:sectPr>
      </w:pPr>
    </w:p>
    <w:bookmarkStart w:id="28" w:name="page29"/>
    <w:bookmarkEnd w:id="28"/>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Financial Income, Net</w:t>
      </w:r>
    </w:p>
    <w:p>
      <w:pPr>
        <w:spacing w:after="0" w:line="229"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Net financial income increased by 219% to $5,088,000 for the three month period ended March 31, 2024, compared to $1,597,000 for the three month period ended March 31, 2023. The increase was mainly due to the revaluation of the Transaction and interest from short-term bank deposits.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Basic and Diluted Income and Loss Per Share of Common Stock</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Basic and diluted income per share of common stock for the three month period ended March 31, 2024 was $0.04 per share, compared to a basic and diluted loss of $0.08 per share for the three month period ended March 31, 2023. This was primarily due to the changes discussed above that caused us to have income during the three month period ended March 31, 2024, compared to a loss during the three month period ended March 31, 2023.</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Weighted Average Shares of Common Stock Outstanding</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Weighted average shares of common stock outstanding used in computing basic income (loss) per share of common stock for the three month period ended March 31, 2024 were 40,835,953 compared to 40,041,258 for the three month period ended March 31, 2023. The increase was mainly due to RSUs that vested during the three month period ended March 31, 2024.</w:t>
      </w:r>
    </w:p>
    <w:p>
      <w:pPr>
        <w:spacing w:after="0" w:line="176"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Weighted average shares of common stock outstanding used in computing diluted income (loss) per share of common stock for the three month period ended March 31, 2024 were 41,564,007 compared to 40,041,258 for the three month period ended March 31, 2023. The increase was mainly due to RSUs that vested during the three month period ended March 31, 2024.</w:t>
      </w:r>
    </w:p>
    <w:p>
      <w:pPr>
        <w:spacing w:after="0" w:line="176"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For the diluted earnings per share calculation, the weighted average number of shares outstanding during the year is adjusted for the average number of shares that are potentially issuable in connection with employee share-based payment, using the treasury stock method.</w:t>
      </w: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73" w:right="3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From inception through March 31, 2024, we have incurred losses in an aggregate amount of $156,020,000. During that period and through March 31, 2024, we have financed our operations through several private placements of our common stock, as well as public offerings of our common stock, raising a total of $255,384,000, net of transaction costs. During that period, we also received cash consideration of $28,001,000 from the exercise of warrants and options. We expect to seek additional financing through similar sources in the future, as needed. As of March 31, 2024, we had $18,576,000 of available cash and $80,285,000 of short-term bank deposits.</w:t>
      </w:r>
    </w:p>
    <w:p>
      <w:pPr>
        <w:spacing w:after="0" w:line="183"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From inception through March 31, 2024, we have not generated significant revenues from our operations. Management continues to evaluate various financing alternatives for funding new strategic activities, future research and development activities and general and administrative expenses through fundraising in the public or private equity markets. Although there is no assurance that we will be successful with those initiatives, management believes that it will be able to secure the necessary financing as a result of future third party investments. Following the termination of the ORA-D-013-1 and ORA-D-013-2 Phase 3 trials, the Company’s research and development activities have been significantly reduced while it conducts a strategic review process. As a result, the Company is currently incurring lower research and development and sales and marketing expenses.</w:t>
      </w:r>
    </w:p>
    <w:p>
      <w:pPr>
        <w:spacing w:after="0" w:line="18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Based on our current cash resources and commitments, we believe we will be able to maintain our current planned activities and the corresponding level of expenditures for at least the next 12 months, although no assurance can be given that we will not need additional funds prior to such time. If there are unexpected increases in our operating expenses, we may need to seek additional financing during the next 12 months. We may also need additional funds to realize the decisions made as part of our strategic review process. We cannot predict the outcome of these activities.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August 9, 2023, we entered into the Senior DIP Loan Agreement with the Debtors in the principal amount of $100,000,000.</w:t>
      </w:r>
    </w:p>
    <w:p>
      <w:pPr>
        <w:spacing w:after="0" w:line="225"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On the Closing Date, we entered into and consummated the Transaction. Pursuant to the Scilex SPA, in exchange for the DIP Assumption and for the ability to credit the amounts assumed under the DIP Assumption in exchange for certain equity securities of Scilex owned by Sorrento, Scilex (i) issued to us (A) the Note, (B) the Closing Penny Warrant, and (C) the Subsequent Penny Warrants, and (ii) caused the Transferred Warrants to be transferred to us. In addition, on the Closing Date, Scilex reimbursed $1,910,000 of the Company’s Transaction expenses pursuant to the Scilex SPA.</w:t>
      </w:r>
    </w:p>
    <w:p>
      <w:pPr>
        <w:spacing w:after="0" w:line="180" w:lineRule="exact"/>
        <w:rPr>
          <w:sz w:val="20"/>
          <w:szCs w:val="20"/>
          <w:color w:val="auto"/>
        </w:rPr>
      </w:pPr>
    </w:p>
    <w:p>
      <w:pPr>
        <w:jc w:val="both"/>
        <w:ind w:right="280" w:firstLine="648"/>
        <w:spacing w:after="0" w:line="266" w:lineRule="auto"/>
        <w:rPr>
          <w:sz w:val="20"/>
          <w:szCs w:val="20"/>
          <w:color w:val="auto"/>
        </w:rPr>
      </w:pPr>
      <w:r>
        <w:rPr>
          <w:rFonts w:ascii="Times New Roman" w:cs="Times New Roman" w:eastAsia="Times New Roman" w:hAnsi="Times New Roman"/>
          <w:sz w:val="18"/>
          <w:szCs w:val="18"/>
          <w:color w:val="auto"/>
        </w:rPr>
        <w:t>Pursuant to the terms of the Scilex SPA, Scilex agreed to certain restrictions on additional issuances of equity securities. In connection with the Transaction, we and Sorrento mutually agreed to terminate the Sorrento SPA and to release all claims the Company and Sorrento may have against one another, and Scilex completed the acquisition of the Purchased Securities.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0" w:name="page31"/>
    <w:bookmarkEnd w:id="30"/>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On August 8, 2023, we borrowed an aggregate of $99,550,000 pursuant to loan agreements from Israel Discount Bank Ltd., or the Short-Term Borrowings. The Short-Term Borrowings mature on dates ranging from August 11, 2023 to May 24, 2024, bear interest ranging from 6.66% to 7.38%, are secured by certificates of deposits issued by Israel Discount Bank Ltd. having an aggregate face amount of $99,550,000. The net proceeds of the Short-Term Borrowings were used to fund the Note. The Short-Term Borrowings are paid in one payment of principal and interest at each respective maturity. As of March 31, 2024, approximately $70,146,000 was repaid under the Short-Term Borrowings.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2024, our total current assets were $177,095,000 and our total current liabilities were $33,556,000. On March 31, 2024, we had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working capital surplus of $143,539,000 and an accumulated loss of $156,020,000. As of December 31, 2023, our total current assets were $162,584,000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our total current liabilities were $53,214,000. On December 31, 2023, we had a working capital surplus of $109,370,000 and an accumulated loss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$157,556,000. The increase in working capital from December 31, 2023 to March 31, 2024 was mainly due to an increase in cash and cash equivalents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investments at fair value, together with a decrease in Short-term borrowings partially offset by a decrease in short term deposits.</w:t>
      </w:r>
    </w:p>
    <w:p>
      <w:pPr>
        <w:spacing w:after="0" w:line="207"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 period ended March 31, 2024, cash and cash equivalents increased to $18,576,000, from $9,055,000 as of December 31, 2023. The increase was mainly due to the reasons described below.</w:t>
      </w:r>
    </w:p>
    <w:p>
      <w:pPr>
        <w:spacing w:after="0" w:line="162"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Operating activities used cash of $1,476,000 in the three month period ended March 31, 2024, compared to $5,549,000 used in the three month period ended March 31, 2023. Cash used in operating activities primarily consisted of research and development, sales and marketing and general and administrative expenses and changes in stock-based compensation expenses, interest on deposits, interest paid on the Short-Term Borrowings, accounts payable and accrued expenses.</w:t>
      </w:r>
    </w:p>
    <w:p>
      <w:pPr>
        <w:spacing w:after="0" w:line="1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Investing activities provided cash of $29,998,000 in the three month period ended March 31, 2024, compared to cash used in investing activities of $13,203,000 in the three month period ended March 31, 2023. Cash provided by investing activities in the three month period ended March 31, 2024 consisted primarily of proceeds from short term investing activities and a principal repayment of the Note partially offset by the purchase of short-term deposits.</w:t>
      </w:r>
    </w:p>
    <w:p>
      <w:pPr>
        <w:spacing w:after="0" w:line="180"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Financing activities used cash of $19,000,000 in the three month period ended March 31, 2024, compared to $2,430,000 provided in the three month period ended March 31, 2023. Cash used by financing activities in the three month period ended March 31, 2024, consisted primarily of partial repayment of the Short-Term Borrowings. Cash provided by financing activities in the three month period ended March 31, 2023, consisted primarily of proceeds from the issuance of our common stock.</w:t>
      </w:r>
    </w:p>
    <w:p>
      <w:pPr>
        <w:spacing w:after="0" w:line="18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On March 18, 2024, the Company entered into an at the market offering agreement, or the ATM Agreement, with Rodman &amp; Renshaw LLC and StockBlock Securities LLC, as agents, pursuant to which the Company may issue and sell shares of its common stock having an aggregate offering price of up to $75,000,000 through a sales agent, subject to certain terms and conditions. Any shares sold will be sold pursuant to our effective shelf registration statement on Form S-3 including a prospectus dated July 26, 2021 and prospectus supplement dated March 18, 2024. As of March 31, 2024 and through May 9, 2024, no shares were issued under the ATM Agreement.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227" w:lineRule="exact"/>
        <w:rPr>
          <w:sz w:val="20"/>
          <w:szCs w:val="20"/>
          <w:color w:val="auto"/>
        </w:rPr>
      </w:pPr>
    </w:p>
    <w:p>
      <w:pPr>
        <w:ind w:right="4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Our critical accounting policies are described in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xml:space="preserve"> contained in our Annual Report.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Planned Expenditures</w:t>
      </w:r>
    </w:p>
    <w:p>
      <w:pPr>
        <w:spacing w:after="0" w:line="229"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We have invested heavily in research and development, and we expect that in the upcoming years our research and development expenses will continue to be our major operating expense.</w:t>
      </w:r>
    </w:p>
    <w:p>
      <w:pPr>
        <w:spacing w:after="0" w:line="162"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Following the results of the Phase 3 trials for our oral insulin capsule candidate, ORMD-0801 and the current strategic review initiated by the Company, our obligations may change significantly.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ITEM 3 - QUANTITATIVE AND QUALITATIVE DISCLOSURES ABOUT MARKET RISK</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There has been no significant change in our exposure to market risk during the quarter ended March 31, 2024. For a discussion of our exposure to market risk, refer to Part II, Item 7A, “Quantitative and Qualitative Disclosures About Market Risk,” contained in our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evaluated the effectiveness of our disclosure controls and procedures as of March 31, 2024. Based upon that evaluation, our Chief Executive Officer and Chief Financial Officer concluded that our disclosure controls and procedures are effective.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quarter ended March 31, 2024 that have materially affected, or are reasonably likely to materially affect, our internal control over financial reporting.</w:t>
      </w:r>
    </w:p>
    <w:p>
      <w:pPr>
        <w:spacing w:after="0" w:line="37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873" w:right="41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0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r>
      <w:tr>
        <w:trPr>
          <w:trHeight w:val="216"/>
        </w:trPr>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50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5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CEEFF"/>
          </w:tcPr>
          <w:p>
            <w:pPr>
              <w:spacing w:after="0"/>
              <w:rPr>
                <w:sz w:val="17"/>
                <w:szCs w:val="17"/>
                <w:color w:val="auto"/>
              </w:rPr>
            </w:pPr>
          </w:p>
        </w:tc>
        <w:tc>
          <w:tcPr>
            <w:tcW w:w="1010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Representative Form of Indemnification Agreements between Oramed Pharmaceuticals Inc. and each of our directors and officers.</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50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54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CEEFF"/>
          </w:tcPr>
          <w:p>
            <w:pPr>
              <w:spacing w:after="0"/>
              <w:rPr>
                <w:sz w:val="15"/>
                <w:szCs w:val="15"/>
                <w:color w:val="auto"/>
              </w:rPr>
            </w:pPr>
          </w:p>
        </w:tc>
        <w:tc>
          <w:tcPr>
            <w:tcW w:w="10100" w:type="dxa"/>
            <w:vAlign w:val="bottom"/>
            <w:gridSpan w:val="9"/>
            <w:shd w:val="clear" w:color="auto" w:fill="CCEEFF"/>
          </w:tcPr>
          <w:p>
            <w:pPr>
              <w:spacing w:after="0" w:line="176"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At The Market Offering Agreement, dated March 18, 2024, by and among the Oramed Pharmaceuticals Inc., Rodman &amp; Renshaw LLC and</w:t>
              </w:r>
            </w:hyperlink>
          </w:p>
        </w:tc>
      </w:tr>
      <w:tr>
        <w:trPr>
          <w:trHeight w:val="216"/>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60" w:type="dxa"/>
            <w:vAlign w:val="bottom"/>
            <w:tcBorders>
              <w:top w:val="single" w:sz="8" w:color="0000EE"/>
            </w:tcBorders>
            <w:gridSpan w:val="8"/>
            <w:shd w:val="clear" w:color="auto" w:fill="CCEEFF"/>
          </w:tcPr>
          <w:p>
            <w:pPr>
              <w:spacing w:after="0" w:line="196"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StockBlock Securities LLC (incorporated by reference from our current report on Form 8-K filed March 18, 2024).</w:t>
              </w:r>
            </w:hyperlink>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50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540" w:type="dxa"/>
            <w:vAlign w:val="bottom"/>
            <w:tcBorders>
              <w:top w:val="single" w:sz="8" w:color="0000EE"/>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Borders>
              <w:bottom w:val="single" w:sz="8" w:color="CCEEFF"/>
            </w:tcBorders>
            <w:shd w:val="clear" w:color="auto" w:fill="CCEEFF"/>
          </w:tcPr>
          <w:p>
            <w:pPr>
              <w:spacing w:after="0"/>
              <w:rPr>
                <w:sz w:val="15"/>
                <w:szCs w:val="15"/>
                <w:color w:val="auto"/>
              </w:rPr>
            </w:pPr>
          </w:p>
        </w:tc>
        <w:tc>
          <w:tcPr>
            <w:tcW w:w="954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Certification of Principal Executive Officer pursuant to Rule 13a-14(a) and 15d-14(a) under the Securities Exchange Act of 1934, as</w:t>
            </w:r>
          </w:p>
        </w:tc>
        <w:tc>
          <w:tcPr>
            <w:tcW w:w="560" w:type="dxa"/>
            <w:vAlign w:val="bottom"/>
            <w:tcBorders>
              <w:bottom w:val="single" w:sz="8" w:color="CCEEFF"/>
            </w:tcBorders>
            <w:gridSpan w:val="3"/>
            <w:shd w:val="clear" w:color="auto" w:fill="CCEEFF"/>
          </w:tcPr>
          <w:p>
            <w:pPr>
              <w:spacing w:after="0"/>
              <w:rPr>
                <w:sz w:val="15"/>
                <w:szCs w:val="15"/>
                <w:color w:val="auto"/>
              </w:rPr>
            </w:pPr>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9"/>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amended.</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50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54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shd w:val="clear" w:color="auto" w:fill="CCEEFF"/>
          </w:tcPr>
          <w:p>
            <w:pPr>
              <w:spacing w:after="0"/>
              <w:rPr>
                <w:sz w:val="15"/>
                <w:szCs w:val="15"/>
                <w:color w:val="auto"/>
              </w:rPr>
            </w:pPr>
          </w:p>
        </w:tc>
        <w:tc>
          <w:tcPr>
            <w:tcW w:w="1010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Financial Officer pursuant to Rule 13a-14(a) and 15(d)-14(a) under the Securities Exchange Act of 1934, as</w:t>
            </w:r>
          </w:p>
        </w:tc>
      </w:tr>
      <w:tr>
        <w:trPr>
          <w:trHeight w:val="217"/>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600" w:type="dxa"/>
            <w:vAlign w:val="bottom"/>
            <w:tcBorders>
              <w:top w:val="single" w:sz="8" w:color="0000EE"/>
            </w:tcBorders>
            <w:gridSpan w:val="7"/>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amended.</w:t>
            </w:r>
          </w:p>
        </w:tc>
        <w:tc>
          <w:tcPr>
            <w:tcW w:w="5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50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54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shd w:val="clear" w:color="auto" w:fill="CCEEFF"/>
          </w:tcPr>
          <w:p>
            <w:pPr>
              <w:spacing w:after="0"/>
              <w:rPr>
                <w:sz w:val="17"/>
                <w:szCs w:val="17"/>
                <w:color w:val="auto"/>
              </w:rPr>
            </w:pPr>
          </w:p>
        </w:tc>
        <w:tc>
          <w:tcPr>
            <w:tcW w:w="1010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Executive Officer pursuant to 18 U.S.C. Section 1350.</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50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54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32.2**</w:t>
            </w:r>
          </w:p>
        </w:tc>
        <w:tc>
          <w:tcPr>
            <w:tcW w:w="120" w:type="dxa"/>
            <w:vAlign w:val="bottom"/>
            <w:shd w:val="clear" w:color="auto" w:fill="CCEEFF"/>
          </w:tcPr>
          <w:p>
            <w:pPr>
              <w:spacing w:after="0"/>
              <w:rPr>
                <w:sz w:val="17"/>
                <w:szCs w:val="17"/>
                <w:color w:val="auto"/>
              </w:rPr>
            </w:pPr>
          </w:p>
        </w:tc>
        <w:tc>
          <w:tcPr>
            <w:tcW w:w="1010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Financial Officer pursuant to 18 U.S.C. Section 1350.</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50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54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r>
      <w:tr>
        <w:trPr>
          <w:trHeight w:val="198"/>
        </w:trPr>
        <w:tc>
          <w:tcPr>
            <w:tcW w:w="10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101.1*</w:t>
            </w:r>
          </w:p>
        </w:tc>
        <w:tc>
          <w:tcPr>
            <w:tcW w:w="120" w:type="dxa"/>
            <w:vAlign w:val="bottom"/>
            <w:shd w:val="clear" w:color="auto" w:fill="CCEEFF"/>
          </w:tcPr>
          <w:p>
            <w:pPr>
              <w:spacing w:after="0"/>
              <w:rPr>
                <w:sz w:val="17"/>
                <w:szCs w:val="17"/>
                <w:color w:val="auto"/>
              </w:rPr>
            </w:pPr>
          </w:p>
        </w:tc>
        <w:tc>
          <w:tcPr>
            <w:tcW w:w="10100" w:type="dxa"/>
            <w:vAlign w:val="bottom"/>
            <w:gridSpan w:val="9"/>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The following financial statements from the Company’s Quarterly Report on Form 10-Q for the quarter ended March 31, 2024 formatted in</w:t>
            </w:r>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(i) Condensed Consolidated Balance Sheets, (ii) Condensed Consolidated Statements of Comprehensive Loss, (iii) Condensed</w:t>
            </w:r>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Statement of Changes in Stockholders’ Equity, (iv) Condensed Consolidated Statements of Cash Flows and (v) the Notes to</w:t>
            </w:r>
          </w:p>
        </w:tc>
      </w:tr>
      <w:tr>
        <w:trPr>
          <w:trHeight w:val="234"/>
        </w:trPr>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1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Condensed Consolidated Financial Statements.</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104.1*</w:t>
            </w:r>
          </w:p>
        </w:tc>
        <w:tc>
          <w:tcPr>
            <w:tcW w:w="120" w:type="dxa"/>
            <w:vAlign w:val="bottom"/>
            <w:shd w:val="clear" w:color="auto" w:fill="CCEEFF"/>
          </w:tcPr>
          <w:p>
            <w:pPr>
              <w:spacing w:after="0"/>
              <w:rPr>
                <w:sz w:val="18"/>
                <w:szCs w:val="18"/>
                <w:color w:val="auto"/>
              </w:rPr>
            </w:pPr>
          </w:p>
        </w:tc>
        <w:tc>
          <w:tcPr>
            <w:tcW w:w="101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198" w:lineRule="exact"/>
        <w:rPr>
          <w:sz w:val="20"/>
          <w:szCs w:val="20"/>
          <w:color w:val="auto"/>
        </w:rPr>
      </w:pPr>
    </w:p>
    <w:p>
      <w:pPr>
        <w:ind w:left="860" w:hanging="326"/>
        <w:spacing w:after="0"/>
        <w:tabs>
          <w:tab w:leader="none" w:pos="8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5" w:lineRule="exact"/>
        <w:rPr>
          <w:rFonts w:ascii="Times New Roman" w:cs="Times New Roman" w:eastAsia="Times New Roman" w:hAnsi="Times New Roman"/>
          <w:sz w:val="18"/>
          <w:szCs w:val="18"/>
          <w:color w:val="auto"/>
        </w:rPr>
      </w:pPr>
    </w:p>
    <w:p>
      <w:pPr>
        <w:ind w:left="720" w:hanging="321"/>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3" w:name="page34"/>
    <w:bookmarkEnd w:id="3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ORAMED PHARMACEUTICALS INC.</w:t>
      </w:r>
    </w:p>
    <w:p>
      <w:pPr>
        <w:spacing w:after="0" w:line="229"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May 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Nadav Kidron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Nadav Kidron</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7"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May 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Silberman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David Silberman</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3" w:right="37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THIS INDEMNIFICATION AGREEMENT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and entered into as of ____________ between</w:t>
      </w:r>
      <w:r>
        <w:rPr>
          <w:rFonts w:ascii="Times New Roman" w:cs="Times New Roman" w:eastAsia="Times New Roman" w:hAnsi="Times New Roman"/>
          <w:sz w:val="18"/>
          <w:szCs w:val="18"/>
          <w:b w:val="1"/>
          <w:bCs w:val="1"/>
          <w:color w:val="auto"/>
        </w:rPr>
        <w:t xml:space="preserve"> Oramed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Pharmaceuticals Inc.</w:t>
      </w:r>
      <w:r>
        <w:rPr>
          <w:rFonts w:ascii="Times New Roman" w:cs="Times New Roman" w:eastAsia="Times New Roman" w:hAnsi="Times New Roman"/>
          <w:sz w:val="18"/>
          <w:szCs w:val="18"/>
          <w:color w:val="auto"/>
        </w:rPr>
        <w:t>,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b w:val="1"/>
          <w:bCs w:val="1"/>
          <w:color w:val="auto"/>
        </w:rPr>
        <w:t xml:space="preserve"> __________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Indemnitee</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WHEREAS, highly competent persons have become more reluctant to serve corporations as directors or officers unless they are provided with adequate protection through insurance or adequate indemnification against inordinate risks of claims and actions against them arising out of their service to and activities on behalf of the corporation;</w:t>
      </w:r>
    </w:p>
    <w:p>
      <w:pPr>
        <w:spacing w:after="0" w:line="176"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WHEREAS, the By-laws and/or the Certificate of Incorporation of the Company require indemnification of the officers and directors of the Company. Indemnitee may also be entitled to indemnification pursuant to the General Corporation Law of the State of Delaware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The By-laws and/or Certificate of Incorporation and the DGCL expressly provide that the indemnification provisions set forth therein are not exclusive, and thereby contemplate that contracts may be entered into between the Company and members of 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officers and other persons with respect to indemnification;</w:t>
      </w:r>
    </w:p>
    <w:p>
      <w:pPr>
        <w:spacing w:after="0" w:line="183" w:lineRule="exact"/>
        <w:rPr>
          <w:sz w:val="20"/>
          <w:szCs w:val="20"/>
          <w:color w:val="auto"/>
        </w:rPr>
      </w:pPr>
    </w:p>
    <w:p>
      <w:pPr>
        <w:ind w:right="160" w:firstLine="648"/>
        <w:spacing w:after="0" w:line="312" w:lineRule="auto"/>
        <w:rPr>
          <w:sz w:val="20"/>
          <w:szCs w:val="20"/>
          <w:color w:val="auto"/>
        </w:rPr>
      </w:pPr>
      <w:r>
        <w:rPr>
          <w:rFonts w:ascii="Times New Roman" w:cs="Times New Roman" w:eastAsia="Times New Roman" w:hAnsi="Times New Roman"/>
          <w:sz w:val="17"/>
          <w:szCs w:val="17"/>
          <w:color w:val="auto"/>
        </w:rPr>
        <w:t>WHEREAS, the Board has determined that the increased difficulty in attracting and retaining such persons is detrimental to the best interests of the Company’s stockholders and that the Company should act to assure such persons that there will be increased certainty of such protection in the future;</w:t>
      </w:r>
    </w:p>
    <w:p>
      <w:pPr>
        <w:spacing w:after="0" w:line="140"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WHEREAS, it is reasonable, prudent and necessary for the Company contractually to obligate itself to indemnify, and to advance expenses on behalf of, such persons to the fullest extent permitted by applicable law so that they will serve or continue to serve the Company free from undue concern that they will not be so indemnified;</w:t>
      </w:r>
    </w:p>
    <w:p>
      <w:pPr>
        <w:spacing w:after="0" w:line="176" w:lineRule="exact"/>
        <w:rPr>
          <w:sz w:val="20"/>
          <w:szCs w:val="20"/>
          <w:color w:val="auto"/>
        </w:rPr>
      </w:pPr>
    </w:p>
    <w:p>
      <w:pPr>
        <w:ind w:right="300" w:firstLine="648"/>
        <w:spacing w:after="0" w:line="312" w:lineRule="auto"/>
        <w:rPr>
          <w:sz w:val="20"/>
          <w:szCs w:val="20"/>
          <w:color w:val="auto"/>
        </w:rPr>
      </w:pPr>
      <w:r>
        <w:rPr>
          <w:rFonts w:ascii="Times New Roman" w:cs="Times New Roman" w:eastAsia="Times New Roman" w:hAnsi="Times New Roman"/>
          <w:sz w:val="17"/>
          <w:szCs w:val="17"/>
          <w:color w:val="auto"/>
        </w:rPr>
        <w:t>WHEREAS, this Agreement is a supplement to and in furtherance of the By-laws and/or Certificate of Incorporation of the Company and any resolutions adopted pursuant thereto, and shall not be deemed a substitute therefor, nor to diminish or abrogate any rights of Indemnitee thereunder; and</w:t>
      </w:r>
    </w:p>
    <w:p>
      <w:pPr>
        <w:spacing w:after="0" w:line="140"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Indemnitee’s agreement to serve as an officer and director from and after the date hereof, the parties hereto agree as follows:</w:t>
      </w:r>
    </w:p>
    <w:p>
      <w:pPr>
        <w:spacing w:after="0" w:line="162" w:lineRule="exact"/>
        <w:rPr>
          <w:sz w:val="20"/>
          <w:szCs w:val="20"/>
          <w:color w:val="auto"/>
        </w:rPr>
      </w:pPr>
    </w:p>
    <w:p>
      <w:pPr>
        <w:ind w:right="40" w:firstLine="980"/>
        <w:spacing w:after="0" w:line="282" w:lineRule="auto"/>
        <w:tabs>
          <w:tab w:leader="none" w:pos="115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Indemnity of Indemnitee</w:t>
      </w:r>
      <w:r>
        <w:rPr>
          <w:rFonts w:ascii="Times New Roman" w:cs="Times New Roman" w:eastAsia="Times New Roman" w:hAnsi="Times New Roman"/>
          <w:sz w:val="18"/>
          <w:szCs w:val="18"/>
          <w:color w:val="auto"/>
        </w:rPr>
        <w:t>. The Company hereby agrees to hold harmless and indemnify Indemnitee to the fullest extent permitted by law, as such may be amended from time to time. In furtherance of the foregoing indemnification, and without limiting the generality thereof:</w:t>
      </w:r>
    </w:p>
    <w:p>
      <w:pPr>
        <w:spacing w:after="0" w:line="161" w:lineRule="exact"/>
        <w:rPr>
          <w:rFonts w:ascii="Times New Roman" w:cs="Times New Roman" w:eastAsia="Times New Roman" w:hAnsi="Times New Roman"/>
          <w:sz w:val="18"/>
          <w:szCs w:val="18"/>
          <w:color w:val="auto"/>
        </w:rPr>
      </w:pPr>
    </w:p>
    <w:p>
      <w:pPr>
        <w:ind w:right="140" w:firstLine="1304"/>
        <w:spacing w:after="0" w:line="255" w:lineRule="auto"/>
        <w:tabs>
          <w:tab w:leader="none" w:pos="15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Proceedings Other Than Proceedings by or in the Right of the Company</w:t>
      </w:r>
      <w:r>
        <w:rPr>
          <w:rFonts w:ascii="Times New Roman" w:cs="Times New Roman" w:eastAsia="Times New Roman" w:hAnsi="Times New Roman"/>
          <w:sz w:val="18"/>
          <w:szCs w:val="18"/>
          <w:color w:val="auto"/>
        </w:rPr>
        <w:t xml:space="preserve">. Indemnitee shall be entitled to the rights of indemnification provided in this </w:t>
      </w:r>
      <w:r>
        <w:rPr>
          <w:rFonts w:ascii="Times New Roman" w:cs="Times New Roman" w:eastAsia="Times New Roman" w:hAnsi="Times New Roman"/>
          <w:sz w:val="18"/>
          <w:szCs w:val="18"/>
          <w:u w:val="single" w:color="auto"/>
          <w:color w:val="auto"/>
        </w:rPr>
        <w:t>Section l(a)</w:t>
      </w:r>
      <w:r>
        <w:rPr>
          <w:rFonts w:ascii="Times New Roman" w:cs="Times New Roman" w:eastAsia="Times New Roman" w:hAnsi="Times New Roman"/>
          <w:sz w:val="18"/>
          <w:szCs w:val="18"/>
          <w:color w:val="auto"/>
        </w:rPr>
        <w:t xml:space="preserve"> if, by reason of his Corporate Status (as hereinafter defined), the Indemnitee is, or is threatened to be made, a party to or participant in any Proceeding (as hereinafter defined) other than a Proceeding by or in the right of the Company. Pursuant to this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Indemnitee shall be indemnified against all Expenses (as hereinafter defined), judgments, penalties, fines and amounts paid in settlement actually and reasonably incurred by him, or on his behalf, in connection with such Proceeding or any claim, issue or matter therein, if the Indemnitee acted in good faith and in a manner the Indemnitee reasonably believed to be in or not opposed to the best interests of the Company, and with respect to any criminal Proceeding, had no reasonable cause to believe the Indemnitee’s conduct was unlawful.</w:t>
      </w:r>
    </w:p>
    <w:p>
      <w:pPr>
        <w:spacing w:after="0" w:line="188" w:lineRule="exact"/>
        <w:rPr>
          <w:rFonts w:ascii="Times New Roman" w:cs="Times New Roman" w:eastAsia="Times New Roman" w:hAnsi="Times New Roman"/>
          <w:sz w:val="18"/>
          <w:szCs w:val="18"/>
          <w:color w:val="auto"/>
        </w:rPr>
      </w:pPr>
    </w:p>
    <w:p>
      <w:pPr>
        <w:ind w:right="20" w:firstLine="1304"/>
        <w:spacing w:after="0" w:line="254" w:lineRule="auto"/>
        <w:tabs>
          <w:tab w:leader="none" w:pos="1551"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Proceedings by or in the Right of the Company</w:t>
      </w:r>
      <w:r>
        <w:rPr>
          <w:rFonts w:ascii="Times New Roman" w:cs="Times New Roman" w:eastAsia="Times New Roman" w:hAnsi="Times New Roman"/>
          <w:sz w:val="18"/>
          <w:szCs w:val="18"/>
          <w:color w:val="auto"/>
        </w:rPr>
        <w:t xml:space="preserve">. Indemnitee shall be entitled to the rights of indemnification provided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1(b)</w:t>
      </w:r>
      <w:r>
        <w:rPr>
          <w:rFonts w:ascii="Times New Roman" w:cs="Times New Roman" w:eastAsia="Times New Roman" w:hAnsi="Times New Roman"/>
          <w:sz w:val="18"/>
          <w:szCs w:val="18"/>
          <w:color w:val="auto"/>
        </w:rPr>
        <w:t xml:space="preserve"> if, by reason of his Corporate Status, the Indemnitee is, or is threatened to be made, a party to or participant in any Proceeding brought by or in the right of the Company. Pursuant to this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 Indemnitee shall be indemnified against all Expenses, judgments, penalties, fines and amounts paid in settlement actually and reasonably incurred by the Indemnitee, or on the Indemnitee’s behalf, in connection with such Proceeding if the Indemnitee acted in good faith and in a manner the Indemnitee reasonably believed to be in or not opposed to the best interests of the Company; provided, however, if applicable law so provides, no indemnification against such Expenses shall be made in respect of any claim, issue or matter in such Proceeding as to which Indemnitee shall have been adjudged to be liable to the Company unless and to the extent that the Court of Chancery of the State of Delaware shall determine that such indemnification may be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407670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5" w:name="page36"/>
    <w:bookmarkEnd w:id="35"/>
    <w:p>
      <w:pPr>
        <w:ind w:left="-20" w:right="60" w:firstLine="1304"/>
        <w:spacing w:after="0" w:line="254" w:lineRule="auto"/>
        <w:tabs>
          <w:tab w:leader="none" w:pos="15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for Expenses of a Party Who is Wholly or Partly Successful</w:t>
      </w:r>
      <w:r>
        <w:rPr>
          <w:rFonts w:ascii="Times New Roman" w:cs="Times New Roman" w:eastAsia="Times New Roman" w:hAnsi="Times New Roman"/>
          <w:sz w:val="18"/>
          <w:szCs w:val="18"/>
          <w:color w:val="auto"/>
        </w:rPr>
        <w:t>. Notwithstanding any other provision of this Agreement, to the extent that Indemnitee is, by reason of his Corporate Status, a party to and is successful, on the merits or otherwise, in any Proceeding, he shall be indemnified to the maximum extent permitted by law, as such may be amended from time to time, against all Expenses, judgments, penalties, fines and amounts paid in settlement actually and reasonably incurred by him or on his behalf in connection therewith. If Indemnitee is not wholly successful in such Proceeding but is successful, on the merits or otherwise, as to one or more but less than all claims, issues or matters in such Proceeding, the Company shall indemnify Indemnitee against all Expenses actually and reasonably incurred by him or on his behalf in connection with each successfully resolved claim, issue or matter. For purposes of this Section and without limitation, the termination of any claim, issue or matter in such a Proceeding by dismissal, with or without prejudice, shall be deemed to be a successful result as to such claim, issue or matter.</w:t>
      </w:r>
    </w:p>
    <w:p>
      <w:pPr>
        <w:spacing w:after="0" w:line="191" w:lineRule="exact"/>
        <w:rPr>
          <w:rFonts w:ascii="Times New Roman" w:cs="Times New Roman" w:eastAsia="Times New Roman" w:hAnsi="Times New Roman"/>
          <w:sz w:val="18"/>
          <w:szCs w:val="18"/>
          <w:color w:val="auto"/>
        </w:rPr>
      </w:pPr>
    </w:p>
    <w:p>
      <w:pPr>
        <w:ind w:left="-20" w:right="100" w:firstLine="980"/>
        <w:spacing w:after="0" w:line="255" w:lineRule="auto"/>
        <w:tabs>
          <w:tab w:leader="none" w:pos="113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Indemnity</w:t>
      </w:r>
      <w:r>
        <w:rPr>
          <w:rFonts w:ascii="Times New Roman" w:cs="Times New Roman" w:eastAsia="Times New Roman" w:hAnsi="Times New Roman"/>
          <w:sz w:val="18"/>
          <w:szCs w:val="18"/>
          <w:color w:val="auto"/>
        </w:rPr>
        <w:t xml:space="preserve">. In addition to, and without regard to any limitations on, the indemnification provided for in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of this Agreement, the Company shall and hereby does indemnify and hold harmless Indemnitee against all Expenses, judgments, penalties, fines and amounts paid in settlement actually and reasonably incurred by him or on his behalf if, by reason of his Corporate Status, he is, or is threatened to be made, a party to or participant in any Proceeding (including a Proceeding by or in the right of the Company), including, without limitation, all liability arising out of the negligence or active or passive wrongdoing of Indemnitee. The only limitation that shall exist upon the Company’s obligations pursuant to this Agreement shall be that the Company shall not be obligated to make any payment to Indemnitee that is finally determined (under the procedures, and subject to the presumptions, set forth in </w:t>
      </w:r>
      <w:r>
        <w:rPr>
          <w:rFonts w:ascii="Times New Roman" w:cs="Times New Roman" w:eastAsia="Times New Roman" w:hAnsi="Times New Roman"/>
          <w:sz w:val="18"/>
          <w:szCs w:val="18"/>
          <w:u w:val="single" w:color="auto"/>
          <w:color w:val="auto"/>
        </w:rPr>
        <w:t>Sections 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w:t>
      </w:r>
      <w:r>
        <w:rPr>
          <w:rFonts w:ascii="Times New Roman" w:cs="Times New Roman" w:eastAsia="Times New Roman" w:hAnsi="Times New Roman"/>
          <w:sz w:val="18"/>
          <w:szCs w:val="18"/>
          <w:color w:val="auto"/>
        </w:rPr>
        <w:t xml:space="preserve"> hereof) to be unlawful.</w:t>
      </w:r>
    </w:p>
    <w:p>
      <w:pPr>
        <w:spacing w:after="0" w:line="188" w:lineRule="exact"/>
        <w:rPr>
          <w:rFonts w:ascii="Times New Roman" w:cs="Times New Roman" w:eastAsia="Times New Roman" w:hAnsi="Times New Roman"/>
          <w:sz w:val="18"/>
          <w:szCs w:val="18"/>
          <w:color w:val="auto"/>
        </w:rPr>
      </w:pPr>
    </w:p>
    <w:p>
      <w:pPr>
        <w:ind w:left="1140" w:hanging="180"/>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 w:right="60" w:firstLine="1304"/>
        <w:spacing w:after="0" w:line="256" w:lineRule="auto"/>
        <w:tabs>
          <w:tab w:leader="none" w:pos="152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Whether or not the indemnification provided in </w:t>
      </w:r>
      <w:r>
        <w:rPr>
          <w:rFonts w:ascii="Times New Roman" w:cs="Times New Roman" w:eastAsia="Times New Roman" w:hAnsi="Times New Roman"/>
          <w:sz w:val="18"/>
          <w:szCs w:val="18"/>
          <w:u w:val="single" w:color="auto"/>
          <w:color w:val="auto"/>
        </w:rPr>
        <w:t>Sections 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hereof is available in respect of any threatened, pending or completed Proceeding in which the Company is jointly liable with Indemnitee (or would be if joined in such action, suit or proceeding), the Company shall pay, in the first instance, the entire amount of any judgment or settlement of such Proceeding without requiring Indemnitee to contribute to such payment and the Company hereby waives and relinquishes any right of contribution it may have against Indemnitee. The Company shall not enter into any settlement of any Proceeding in which the Company is jointly liable with Indemnitee (or would be if joined in such Proceeding) unless such settlement provides for a full and final release of all claims asserted against Indemnitee.</w:t>
      </w:r>
    </w:p>
    <w:p>
      <w:pPr>
        <w:spacing w:after="0" w:line="187" w:lineRule="exact"/>
        <w:rPr>
          <w:rFonts w:ascii="Times New Roman" w:cs="Times New Roman" w:eastAsia="Times New Roman" w:hAnsi="Times New Roman"/>
          <w:sz w:val="18"/>
          <w:szCs w:val="18"/>
          <w:color w:val="auto"/>
        </w:rPr>
      </w:pPr>
    </w:p>
    <w:p>
      <w:pPr>
        <w:ind w:left="-20" w:firstLine="1304"/>
        <w:spacing w:after="0" w:line="252" w:lineRule="auto"/>
        <w:tabs>
          <w:tab w:leader="none" w:pos="153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diminishing or impairing the obligations of the Company set forth in the preceding subparagraph, if, for any reason, Indemnitee shall elect or be required by law to pay all or any portion of any judgment or settlement in any threatened, pending or completed Proceeding in which the Company is jointly liable with Indemnitee (or would be if joined in such Proceeding), the Company shall contribute to the amount of Expenses, judgments, fines and amounts paid in settlement actually and reasonably incurred and paid or payable by Indemnitee in proportion to the relative benefits received by the Company and all officers, directors or employees of the Company, other than Indemnitee, who are jointly liable with Indemnitee (or would be if joined in such Proceeding), on the one hand, and Indemnitee, on the other hand, from the transaction or events from which such Proceeding arose; provided, however, that the proportion determined on the basis of relative benefit may, to the extent necessary to conform to law, be further adjusted by reference to the relative fault of the Company and all officers, directors or employees of the Company other than Indemnitee who are jointly liable with Indemnitee (or would be if joined in such Proceeding), on the one hand, and Indemnitee, on the other hand, in connection with the transaction or events that resulted in such Expenses, judgments, fines or settlement amounts, as well as any other equitable considerations which applicable law may require to be considered. The relative fault of the Company and all officers, directors or employees of the Company, other than Indemnitee, who are jointly liable with Indemnitee (or would be if joined in such Proceeding), on the one hand, and Indemnitee, on the other hand, shall be determined by reference to, among other things, the degree to which their actions were motivated by intent to gain personal profit or advantage, the degree to which their liability is primary or secondary and the degree to which their conduct is active or passive.</w:t>
      </w:r>
    </w:p>
    <w:p>
      <w:pPr>
        <w:spacing w:after="0" w:line="197" w:lineRule="exact"/>
        <w:rPr>
          <w:rFonts w:ascii="Times New Roman" w:cs="Times New Roman" w:eastAsia="Times New Roman" w:hAnsi="Times New Roman"/>
          <w:sz w:val="18"/>
          <w:szCs w:val="18"/>
          <w:color w:val="auto"/>
        </w:rPr>
      </w:pPr>
    </w:p>
    <w:p>
      <w:pPr>
        <w:ind w:left="-20" w:right="80" w:firstLine="1304"/>
        <w:spacing w:after="0" w:line="282" w:lineRule="auto"/>
        <w:tabs>
          <w:tab w:leader="none" w:pos="152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agrees to fully indemnify and hold Indemnitee harmless from any claims of contribution which may be brought by officers, directors or employees of the Company, other than Indemnitee, who may be jointly liable with Indemnitee.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sectPr>
      </w:pPr>
    </w:p>
    <w:bookmarkStart w:id="36" w:name="page37"/>
    <w:bookmarkEnd w:id="36"/>
    <w:p>
      <w:pPr>
        <w:ind w:right="20" w:firstLine="1304"/>
        <w:spacing w:after="0" w:line="255" w:lineRule="auto"/>
        <w:tabs>
          <w:tab w:leader="none" w:pos="155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permissible under applicable law, if the indemnification provided for in this Agreement is unavailable to Indemnitee for any reason whatsoever, the Company, in lieu of indemnifying Indemnitee, shall contribute to the amount incurred by Indemnitee, whether for judgments, fines, penalties, excise taxes, amounts paid or to be paid in settlement and/or for Expenses, in connection with any claim relating to an indemnifiable event under this Agreement, in such proportion as is deemed fair and reasonable in light of all of the circumstances of such Proceeding in order to reflect (i) the relative benefits received by the Company and Indemnitee as a result of the event(s) and/or transaction(s) giving cause to such Proceeding; and/or (ii) the relative fault of the Company (and its directors, officers, employees and agents) and Indemnitee in connection with such event(s) and/or transaction(s).</w:t>
      </w:r>
    </w:p>
    <w:p>
      <w:pPr>
        <w:spacing w:after="0" w:line="188" w:lineRule="exact"/>
        <w:rPr>
          <w:rFonts w:ascii="Times New Roman" w:cs="Times New Roman" w:eastAsia="Times New Roman" w:hAnsi="Times New Roman"/>
          <w:sz w:val="18"/>
          <w:szCs w:val="18"/>
          <w:color w:val="auto"/>
        </w:rPr>
      </w:pPr>
    </w:p>
    <w:p>
      <w:pPr>
        <w:ind w:right="200" w:firstLine="980"/>
        <w:spacing w:after="0" w:line="266" w:lineRule="auto"/>
        <w:tabs>
          <w:tab w:leader="none" w:pos="115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for Expenses of a Witness</w:t>
      </w:r>
      <w:r>
        <w:rPr>
          <w:rFonts w:ascii="Times New Roman" w:cs="Times New Roman" w:eastAsia="Times New Roman" w:hAnsi="Times New Roman"/>
          <w:sz w:val="18"/>
          <w:szCs w:val="18"/>
          <w:color w:val="auto"/>
        </w:rPr>
        <w:t>. Notwithstanding any other provision of this Agreement, to the extent that Indemnitee is, by reason of his Corporate Status, a witness, or is made (or asked) to respond to discovery requests, in any Proceeding to which Indemnitee is not a party, he shall be indemnified against all Expenses actually and reasonably incurred by him or on his behalf in connection therewith.</w:t>
      </w:r>
    </w:p>
    <w:p>
      <w:pPr>
        <w:spacing w:after="0" w:line="175" w:lineRule="exact"/>
        <w:rPr>
          <w:rFonts w:ascii="Times New Roman" w:cs="Times New Roman" w:eastAsia="Times New Roman" w:hAnsi="Times New Roman"/>
          <w:sz w:val="18"/>
          <w:szCs w:val="18"/>
          <w:color w:val="auto"/>
        </w:rPr>
      </w:pPr>
    </w:p>
    <w:p>
      <w:pPr>
        <w:ind w:right="60" w:firstLine="980"/>
        <w:spacing w:after="0" w:line="255" w:lineRule="auto"/>
        <w:tabs>
          <w:tab w:leader="none" w:pos="115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Advancement of Expenses</w:t>
      </w:r>
      <w:r>
        <w:rPr>
          <w:rFonts w:ascii="Times New Roman" w:cs="Times New Roman" w:eastAsia="Times New Roman" w:hAnsi="Times New Roman"/>
          <w:sz w:val="18"/>
          <w:szCs w:val="18"/>
          <w:color w:val="auto"/>
        </w:rPr>
        <w:t xml:space="preserve">. Notwithstanding any other provision of this Agreement, the Company shall advance all Expenses incurred by or on behalf of Indemnitee in connection with any Proceeding by reason of Indemnitee’s Corporate Status within thirty (30) days after the receipt by the Company of a statement or statements from Indemnitee requesting such advance or advances from time to time, whether prior to or after final disposition of such Proceeding. Such statement or statements shall reasonably evidence the Expenses incurred by Indemnitee and shall include or be preceded or accompanied by a written undertaking by or on behalf of Indemnitee to repay any Expenses advanced if it shall ultimately be determined by a final judicial determination (as to which all rights of appeal therefrom have been exhausted or lapsed) that Indemnitee is not entitled to be indemnified against such Expenses. Any advances and undertakings to repay pursuant to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4 shall be unsecured and interest free.</w:t>
      </w:r>
    </w:p>
    <w:p>
      <w:pPr>
        <w:spacing w:after="0" w:line="188" w:lineRule="exact"/>
        <w:rPr>
          <w:rFonts w:ascii="Times New Roman" w:cs="Times New Roman" w:eastAsia="Times New Roman" w:hAnsi="Times New Roman"/>
          <w:sz w:val="18"/>
          <w:szCs w:val="18"/>
          <w:color w:val="auto"/>
        </w:rPr>
      </w:pPr>
    </w:p>
    <w:p>
      <w:pPr>
        <w:ind w:right="380" w:firstLine="980"/>
        <w:spacing w:after="0" w:line="261" w:lineRule="auto"/>
        <w:tabs>
          <w:tab w:leader="none" w:pos="115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Procedures and Presumptions for Determination of Entitlement to Indemnification</w:t>
      </w:r>
      <w:r>
        <w:rPr>
          <w:rFonts w:ascii="Times New Roman" w:cs="Times New Roman" w:eastAsia="Times New Roman" w:hAnsi="Times New Roman"/>
          <w:sz w:val="18"/>
          <w:szCs w:val="18"/>
          <w:color w:val="auto"/>
        </w:rPr>
        <w:t>. It is the intent of this Agreement to secure for Indemnitee rights of indemnity that are as favorable as may be permitted under the DGCL and public policy of the State of Delaware. Accordingly, the parties agree that the following procedures and presumptions shall apply in the event of any question as to whether Indemnitee is entitled to indemnification under this Agreement:</w:t>
      </w:r>
    </w:p>
    <w:p>
      <w:pPr>
        <w:spacing w:after="0" w:line="179" w:lineRule="exact"/>
        <w:rPr>
          <w:rFonts w:ascii="Times New Roman" w:cs="Times New Roman" w:eastAsia="Times New Roman" w:hAnsi="Times New Roman"/>
          <w:sz w:val="18"/>
          <w:szCs w:val="18"/>
          <w:color w:val="auto"/>
        </w:rPr>
      </w:pPr>
    </w:p>
    <w:p>
      <w:pPr>
        <w:ind w:right="60" w:firstLine="1304"/>
        <w:spacing w:after="0" w:line="255" w:lineRule="auto"/>
        <w:tabs>
          <w:tab w:leader="none" w:pos="154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obtain indemnification under this Agreement, Indemnitee shall submit to the Company a written request, including therein or therewith such documentation and information as is reasonably available to Indemnitee and is reasonably necessary to determine whether and to what extent Indemnitee is entitled to indemnification, provided that Indemnitee shall not be required to provide any documentation or information which is privileged or otherwise protected from disclosure. The Secretary of the Company shall, promptly upon receipt of such a request for indemnification, advise the Board in writing that Indemnitee has requested indemnification. Notwithstanding the foregoing, any failure of Indemnitee to provide such a request to the Company, or to provide such a request in a timely fashion, shall not relieve the Company of any liability that it may have to Indemnitee unless, and to the extent that, such failure actually and materially prejudices the interests of the Company.</w:t>
      </w:r>
    </w:p>
    <w:p>
      <w:pPr>
        <w:spacing w:after="0" w:line="188" w:lineRule="exact"/>
        <w:rPr>
          <w:rFonts w:ascii="Times New Roman" w:cs="Times New Roman" w:eastAsia="Times New Roman" w:hAnsi="Times New Roman"/>
          <w:sz w:val="18"/>
          <w:szCs w:val="18"/>
          <w:color w:val="auto"/>
        </w:rPr>
      </w:pPr>
    </w:p>
    <w:p>
      <w:pPr>
        <w:ind w:right="60" w:firstLine="1304"/>
        <w:spacing w:after="0" w:line="255" w:lineRule="auto"/>
        <w:tabs>
          <w:tab w:leader="none" w:pos="155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written request by Indemnitee for indemnification pursuant to the first sentence of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 xml:space="preserve"> hereof, a determination with respect to Indemnitee’s entitlement thereto shall be made in the specific case by one of the following four methods, which shall be at the election of Indemnitee, in his sole discretion: (1) by a majority vote of the disinterested directors, even though less than a quorum, (2) by a majority vote of a committee of disinterested directors designated by a majority vote of the disinterested directors, even though less than a quorum, (3) if there are no disinterested directors or if a Change of Control shall have occurred after the date hereof, by Independent Counsel in a written opinion to the Board, a copy of which shall be delivered to the Indemnitee, or (4) by a simple majority of the stockholders of the Company voting on the matter. For purposes hereof, disinterested directors are those members of the Board who are not parties to the Proceeding in respect of which indemnification is sought by Indemnitee.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shall mean the occurrence of any of the following:</w:t>
      </w:r>
    </w:p>
    <w:p>
      <w:pPr>
        <w:spacing w:after="0" w:line="225" w:lineRule="exact"/>
        <w:rPr>
          <w:sz w:val="20"/>
          <w:szCs w:val="20"/>
          <w:color w:val="auto"/>
        </w:rPr>
      </w:pPr>
    </w:p>
    <w:p>
      <w:pPr>
        <w:jc w:val="both"/>
        <w:ind w:left="1300" w:hanging="320"/>
        <w:spacing w:after="0" w:line="268"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as such term is currently used in Section 13(d) of the Securities Exchange Act of 1934, as amended (the “</w:t>
      </w:r>
      <w:r>
        <w:rPr>
          <w:rFonts w:ascii="Times New Roman" w:cs="Times New Roman" w:eastAsia="Times New Roman" w:hAnsi="Times New Roman"/>
          <w:sz w:val="18"/>
          <w:szCs w:val="18"/>
          <w:b w:val="1"/>
          <w:bCs w:val="1"/>
          <w:color w:val="auto"/>
        </w:rPr>
        <w:t>1934 Act</w:t>
      </w:r>
      <w:r>
        <w:rPr>
          <w:rFonts w:ascii="Times New Roman" w:cs="Times New Roman" w:eastAsia="Times New Roman" w:hAnsi="Times New Roman"/>
          <w:sz w:val="18"/>
          <w:szCs w:val="18"/>
          <w:color w:val="auto"/>
        </w:rPr>
        <w:t>”) (a “person”), becomes a “beneficial owner” (as such term is currently used in Rule 13d-3 promulgated under the 1934 Act (a “</w:t>
      </w:r>
      <w:r>
        <w:rPr>
          <w:rFonts w:ascii="Times New Roman" w:cs="Times New Roman" w:eastAsia="Times New Roman" w:hAnsi="Times New Roman"/>
          <w:sz w:val="18"/>
          <w:szCs w:val="18"/>
          <w:b w:val="1"/>
          <w:bCs w:val="1"/>
          <w:color w:val="auto"/>
        </w:rPr>
        <w:t>Beneficial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Owner</w:t>
      </w:r>
      <w:r>
        <w:rPr>
          <w:rFonts w:ascii="Times New Roman" w:cs="Times New Roman" w:eastAsia="Times New Roman" w:hAnsi="Times New Roman"/>
          <w:sz w:val="18"/>
          <w:szCs w:val="18"/>
          <w:color w:val="auto"/>
        </w:rPr>
        <w:t>”) of 30% or more of the Voting Stock (as defined below) of the Company;</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ind w:left="1300" w:hanging="320"/>
        <w:spacing w:after="0" w:line="282"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Company adopts any plan of liquidation providing for the distribution of all or substantially all of the Company’s assets;</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58"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 substantially all of the assets or business of the Company are disposed of in any one or more transactions pursuant to a sale, merger, consolidation or other transaction (unless the shareholders of the Company immediately prior to such sale, merger, consolidation or other transaction beneficially own, directly or indirectly, in substantially the same proportion as they owned the Voting Stock of the Company, more than fifty percent (50%) of the Voting Stock or other ownership interests of the entity or entities, if any, that succeed to the business of the Company);</w:t>
      </w:r>
    </w:p>
    <w:p>
      <w:pPr>
        <w:spacing w:after="0" w:line="183"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combines with another company and is the surviving corporation but, immediately after the combination, the shareholders of the Company immediately prior to the combination hold, directly or indirectly, fifty percent (50%) or less of the Voting Stock of the combined company; or</w:t>
      </w:r>
    </w:p>
    <w:p>
      <w:pPr>
        <w:spacing w:after="0" w:line="17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Directors cease to constitute at least a majority of the Board of Directors of the Company.</w:t>
      </w:r>
    </w:p>
    <w:p>
      <w:pPr>
        <w:spacing w:after="0" w:line="221" w:lineRule="exact"/>
        <w:rPr>
          <w:sz w:val="20"/>
          <w:szCs w:val="20"/>
          <w:color w:val="auto"/>
        </w:rPr>
      </w:pPr>
    </w:p>
    <w:p>
      <w:pPr>
        <w:ind w:left="980" w:right="1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Voting Stock</w:t>
      </w:r>
      <w:r>
        <w:rPr>
          <w:rFonts w:ascii="Times New Roman" w:cs="Times New Roman" w:eastAsia="Times New Roman" w:hAnsi="Times New Roman"/>
          <w:sz w:val="18"/>
          <w:szCs w:val="18"/>
          <w:color w:val="auto"/>
        </w:rPr>
        <w:t>” of any entity shall mean the issued and outstanding share capital or other securities of any class or classes having general voting power under ordinary circumstances, in the absence of contingencies, to elect the members of the board of directors (or members of a similar managerial body if such entity has no board of directors) of such entity.</w:t>
      </w:r>
    </w:p>
    <w:p>
      <w:pPr>
        <w:spacing w:after="0" w:line="171" w:lineRule="exact"/>
        <w:rPr>
          <w:sz w:val="20"/>
          <w:szCs w:val="20"/>
          <w:color w:val="auto"/>
        </w:rPr>
      </w:pPr>
    </w:p>
    <w:p>
      <w:pPr>
        <w:jc w:val="both"/>
        <w:ind w:left="980" w:right="8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Continuing Director</w:t>
      </w:r>
      <w:r>
        <w:rPr>
          <w:rFonts w:ascii="Times New Roman" w:cs="Times New Roman" w:eastAsia="Times New Roman" w:hAnsi="Times New Roman"/>
          <w:sz w:val="18"/>
          <w:szCs w:val="18"/>
          <w:color w:val="auto"/>
        </w:rPr>
        <w:t>” means a director who either was a director of the Company on the Commencement Date or who became a director of the Company subsequent thereto and whose election, or nomination for election by the Company’s shareholders, was approved by a majority of the Continuing Directors then on the Board of Directors of the Company.</w:t>
      </w:r>
    </w:p>
    <w:p>
      <w:pPr>
        <w:spacing w:after="0" w:line="175" w:lineRule="exact"/>
        <w:rPr>
          <w:sz w:val="20"/>
          <w:szCs w:val="20"/>
          <w:color w:val="auto"/>
        </w:rPr>
      </w:pPr>
    </w:p>
    <w:p>
      <w:pPr>
        <w:ind w:right="40" w:firstLine="1304"/>
        <w:spacing w:after="0" w:line="252" w:lineRule="auto"/>
        <w:tabs>
          <w:tab w:leader="none" w:pos="154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determination of entitlement to indemnification is to be made by Independent Counsel pursuant to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xml:space="preserve"> hereof, the Independent Counsel shall be selected as provided in this </w:t>
      </w:r>
      <w:r>
        <w:rPr>
          <w:rFonts w:ascii="Times New Roman" w:cs="Times New Roman" w:eastAsia="Times New Roman" w:hAnsi="Times New Roman"/>
          <w:sz w:val="18"/>
          <w:szCs w:val="18"/>
          <w:u w:val="single" w:color="auto"/>
          <w:color w:val="auto"/>
        </w:rPr>
        <w:t>Section 5(c)</w:t>
      </w:r>
      <w:r>
        <w:rPr>
          <w:rFonts w:ascii="Times New Roman" w:cs="Times New Roman" w:eastAsia="Times New Roman" w:hAnsi="Times New Roman"/>
          <w:sz w:val="18"/>
          <w:szCs w:val="18"/>
          <w:color w:val="auto"/>
        </w:rPr>
        <w:t>. The Independent Counsel shall be selected by the Board. Indemnitee may, within 10 days after such written notice of selection shall have been given, deliver to the Company a written objection to such selection; provided, however, that such objection may be asserted only on the ground that the Independent Counsel so selected does not meet the requirements of “</w:t>
      </w:r>
      <w:r>
        <w:rPr>
          <w:rFonts w:ascii="Times New Roman" w:cs="Times New Roman" w:eastAsia="Times New Roman" w:hAnsi="Times New Roman"/>
          <w:sz w:val="18"/>
          <w:szCs w:val="18"/>
          <w:b w:val="1"/>
          <w:bCs w:val="1"/>
          <w:color w:val="auto"/>
        </w:rPr>
        <w:t>Independent Counsel</w:t>
      </w:r>
      <w:r>
        <w:rPr>
          <w:rFonts w:ascii="Times New Roman" w:cs="Times New Roman" w:eastAsia="Times New Roman" w:hAnsi="Times New Roman"/>
          <w:sz w:val="18"/>
          <w:szCs w:val="18"/>
          <w:color w:val="auto"/>
        </w:rPr>
        <w:t xml:space="preserve">” as defined in this Agreement, and the objection shall set forth with reasonable particularity the factual basis of such assertion. Absent a proper and timely objection, the person so selected shall act as Independent Counsel. If a written objection is made and substantiated, the Independent Counsel selected may not serve as Independent Counsel unless and until such objection is withdrawn or a court has determined that such objection is without merit. If, within 20 days after submission by Indemnitee of a written request for indemnification pursuant to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 xml:space="preserve"> hereof, no Independent Counsel shall have been selected and not objected to, either the Company or Indemnitee may petition the Court of Chancery of the State of Delaware or other court of competent jurisdiction for resolution of any objection which shall have been made by the Indemnitee to the Company’s selection of Independent Counsel and/or for the appointment as Independent Counsel of a person selected by the court or by such other person as the court shall designate, and the person with respect to whom all objections are so resolved or the person so appointed shall act as Independent Counsel under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xml:space="preserve"> hereof. The Company shall pay any and all reasonable fees and expenses of Independent Counsel incurred by such Independent Counsel in connection with acting pursuant to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xml:space="preserve"> hereof, and the Company shall pay all reasonable fees and expenses (including those incurred by Indemnitee) incident to the procedures of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5(c)</w:t>
      </w:r>
      <w:r>
        <w:rPr>
          <w:rFonts w:ascii="Times New Roman" w:cs="Times New Roman" w:eastAsia="Times New Roman" w:hAnsi="Times New Roman"/>
          <w:sz w:val="18"/>
          <w:szCs w:val="18"/>
          <w:color w:val="auto"/>
        </w:rPr>
        <w:t>, regardless of the manner in which such Independent Counsel was selected or appointed.</w:t>
      </w:r>
    </w:p>
    <w:p>
      <w:pPr>
        <w:spacing w:after="0" w:line="195" w:lineRule="exact"/>
        <w:rPr>
          <w:rFonts w:ascii="Times New Roman" w:cs="Times New Roman" w:eastAsia="Times New Roman" w:hAnsi="Times New Roman"/>
          <w:sz w:val="18"/>
          <w:szCs w:val="18"/>
          <w:color w:val="auto"/>
        </w:rPr>
      </w:pPr>
    </w:p>
    <w:p>
      <w:pPr>
        <w:ind w:right="80" w:firstLine="1304"/>
        <w:spacing w:after="0" w:line="255" w:lineRule="auto"/>
        <w:tabs>
          <w:tab w:leader="none" w:pos="155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making a determination with respect to entitlement to indemnification hereunder, the person or persons or entity making such determination shall presume that Indemnitee is entitled to indemnification under this Agreement. Anyone seeking to overcome this presumption shall have the burden of proof and the burden of persuasion by clear and convincing evidence. Neither the failure of the Company (including by its directors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its directors or Independent Counsel) that Indemnitee has not met such applicable standard of conduct, shall be a defense to the action or create a presumption that Indemnitee has not met the applicable standard of conduct.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ind w:left="-8" w:right="60" w:firstLine="1304"/>
        <w:spacing w:after="0" w:line="254" w:lineRule="auto"/>
        <w:tabs>
          <w:tab w:leader="none" w:pos="1532"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Indemnitee shall be deemed to have acted in good faith if Indemnitee’s action is based on the records or books of account of the Enterprise (as hereinafter defined), including financial statements, or on information supplied to Indemnitee by the officers of the Enterprise in the course of their duties, or on the advice of legal counsel for the Enterprise or on information or records given or reports made to the Enterprise by an independent certified public accountant or by an appraiser or other expert selected by the Enterprise. In addition, the knowledge and/or actions, or failure to act, of any director, officer, agent or employee of the Enterprise shall not be imputed to Indemnitee for purposes of determining the right to indemnification under this Agreement. Whether or not the foregoing provisions of this </w:t>
      </w:r>
      <w:r>
        <w:rPr>
          <w:rFonts w:ascii="Times New Roman" w:cs="Times New Roman" w:eastAsia="Times New Roman" w:hAnsi="Times New Roman"/>
          <w:sz w:val="18"/>
          <w:szCs w:val="18"/>
          <w:u w:val="single" w:color="auto"/>
          <w:color w:val="auto"/>
        </w:rPr>
        <w:t>Section 5(e)</w:t>
      </w:r>
      <w:r>
        <w:rPr>
          <w:rFonts w:ascii="Times New Roman" w:cs="Times New Roman" w:eastAsia="Times New Roman" w:hAnsi="Times New Roman"/>
          <w:sz w:val="18"/>
          <w:szCs w:val="18"/>
          <w:color w:val="auto"/>
        </w:rPr>
        <w:t xml:space="preserve"> are satisfied, it shall in any event be presumed that Indemnitee has at all times acted in good faith and in a manner he reasonably believed to be in or not opposed to the best interests of the Company or, with respect to any criminal Proceeding, that Indemnitee had reasonable cause to believe that his conduct was unlawful. Anyone seeking to overcome this presumption shall have the burden of proof and the burden of persuasion by clear and convincing evidence.</w:t>
      </w:r>
    </w:p>
    <w:p>
      <w:pPr>
        <w:spacing w:after="0" w:line="188" w:lineRule="exact"/>
        <w:rPr>
          <w:rFonts w:ascii="Times New Roman" w:cs="Times New Roman" w:eastAsia="Times New Roman" w:hAnsi="Times New Roman"/>
          <w:sz w:val="18"/>
          <w:szCs w:val="18"/>
          <w:color w:val="auto"/>
        </w:rPr>
      </w:pPr>
    </w:p>
    <w:p>
      <w:pPr>
        <w:ind w:left="-8" w:firstLine="1304"/>
        <w:spacing w:after="0" w:line="252" w:lineRule="auto"/>
        <w:tabs>
          <w:tab w:leader="none" w:pos="1513"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person, persons or entity empowered or selected under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to determine whether Indemnitee is entitled to indemnification shall not have made a determination within thirty (30) days after receipt by the Company of the request therefor, the requisite determination of entitlement to indemnification shall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prohibition of such indemnification under applicable law; provided, however, that such 30-day period may be extended for a reasonable time, not to exceed an additional thirty (30) days, if the person, persons or entity making such determination with respect to entitlement to indemnification in good faith requires such additional time to obtain or evaluate documentation and/or information relating thereto; and provided, further, that the foregoing provisions of this </w:t>
      </w:r>
      <w:r>
        <w:rPr>
          <w:rFonts w:ascii="Times New Roman" w:cs="Times New Roman" w:eastAsia="Times New Roman" w:hAnsi="Times New Roman"/>
          <w:sz w:val="18"/>
          <w:szCs w:val="18"/>
          <w:u w:val="single" w:color="auto"/>
          <w:color w:val="auto"/>
        </w:rPr>
        <w:t>Section 5(f)</w:t>
      </w:r>
      <w:r>
        <w:rPr>
          <w:rFonts w:ascii="Times New Roman" w:cs="Times New Roman" w:eastAsia="Times New Roman" w:hAnsi="Times New Roman"/>
          <w:sz w:val="18"/>
          <w:szCs w:val="18"/>
          <w:color w:val="auto"/>
        </w:rPr>
        <w:t xml:space="preserve"> shall not apply if the determination of entitlement to indemnification is to be made by the stockholders pursuant to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xml:space="preserve"> of this Agreement and if (A) within fifteen (15) days after receipt by the Company of the request for such determination, the Board or the Disinterested Directors, if appropriate, resolve to submit such determination to the stockholders for their consideration at an annual meeting thereof to be held within sixty (60) days after such receipt and such determination is made thereat, or (B) a special meeting of stockholders is called within fifteen</w:t>
      </w:r>
    </w:p>
    <w:p>
      <w:pPr>
        <w:spacing w:after="0" w:line="3" w:lineRule="exact"/>
        <w:rPr>
          <w:rFonts w:ascii="Times New Roman" w:cs="Times New Roman" w:eastAsia="Times New Roman" w:hAnsi="Times New Roman"/>
          <w:sz w:val="18"/>
          <w:szCs w:val="18"/>
          <w:color w:val="auto"/>
        </w:rPr>
      </w:pPr>
    </w:p>
    <w:p>
      <w:pPr>
        <w:ind w:left="-8" w:firstLine="8"/>
        <w:spacing w:after="0" w:line="260" w:lineRule="auto"/>
        <w:tabs>
          <w:tab w:leader="none" w:pos="33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such receipt for the purpose of making such determination, such meeting is held for such purpose within forty (40) days after having been so called and such determination is made thereat.</w:t>
      </w:r>
    </w:p>
    <w:p>
      <w:pPr>
        <w:spacing w:after="0" w:line="181" w:lineRule="exact"/>
        <w:rPr>
          <w:rFonts w:ascii="Times New Roman" w:cs="Times New Roman" w:eastAsia="Times New Roman" w:hAnsi="Times New Roman"/>
          <w:sz w:val="18"/>
          <w:szCs w:val="18"/>
          <w:color w:val="auto"/>
        </w:rPr>
      </w:pPr>
    </w:p>
    <w:p>
      <w:pPr>
        <w:ind w:left="-8" w:right="100" w:firstLine="1304"/>
        <w:spacing w:after="0" w:line="255" w:lineRule="auto"/>
        <w:tabs>
          <w:tab w:leader="none" w:pos="1543"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Indemnitee shall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Independent Counsel, member of the Board or stockholder of the Company shall act reasonably and in good faith in making a determination regarding the Indemnitee’s entitlement to indemnification under this Agreement. Any costs or expenses (including attorneys’ fees and disbursements) incurred by Indemnitee in so cooperating with the person, persons or entity making such determination shall be borne by the Company (irrespective of the determination as to Indemnitee’s entitlement to indemnification) and the Company hereby indemnifies and agrees to hold Indemnitee harmless therefrom.</w:t>
      </w:r>
    </w:p>
    <w:p>
      <w:pPr>
        <w:spacing w:after="0" w:line="188" w:lineRule="exact"/>
        <w:rPr>
          <w:rFonts w:ascii="Times New Roman" w:cs="Times New Roman" w:eastAsia="Times New Roman" w:hAnsi="Times New Roman"/>
          <w:sz w:val="18"/>
          <w:szCs w:val="18"/>
          <w:color w:val="auto"/>
        </w:rPr>
      </w:pPr>
    </w:p>
    <w:p>
      <w:pPr>
        <w:ind w:left="-8" w:right="140" w:firstLine="1304"/>
        <w:spacing w:after="0" w:line="258" w:lineRule="auto"/>
        <w:tabs>
          <w:tab w:leader="none" w:pos="1543"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acknowledges that a settlement or other disposition short of final judgment may be successful if it permits a party to avoid expense, delay, distraction, disruption and uncertainty. In the event that any Proceeding to which Indemnitee is a party is resolved in any manner other than by adverse judgment against Indemnitee (including, without limitation, settlement of such Proceeding with or without payment of money or other consideration) it shall be presumed that Indemnitee has been successful on the merits or otherwise in such Proceeding. Anyone seeking to overcome this presumption shall have the burden of proof and the burden of persuasion by clear and convincing evidence.</w:t>
      </w:r>
    </w:p>
    <w:p>
      <w:pPr>
        <w:spacing w:after="0" w:line="183" w:lineRule="exact"/>
        <w:rPr>
          <w:rFonts w:ascii="Times New Roman" w:cs="Times New Roman" w:eastAsia="Times New Roman" w:hAnsi="Times New Roman"/>
          <w:sz w:val="18"/>
          <w:szCs w:val="18"/>
          <w:color w:val="auto"/>
        </w:rPr>
      </w:pPr>
    </w:p>
    <w:p>
      <w:pPr>
        <w:ind w:left="-8" w:right="200" w:firstLine="1304"/>
        <w:spacing w:after="0" w:line="258" w:lineRule="auto"/>
        <w:tabs>
          <w:tab w:leader="none" w:pos="1503"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any Proceeding or of any claim, issue or matter therein, by judgment, order, settlement or conviction, or upon a plea of nolo contendere or its equivalent, shall not (except as otherwise expressly provided in this Agreement) of itself adversely affect the right of Indemnitee to indemnification or create a presumption that Indemnitee did not act in good faith and in a manner which he reasonably believed to be in or not opposed to the best interests of the Company or, with respect to any criminal Proceeding, that Indemnitee had reasonable cause to believe that his conduct was unlawful.</w:t>
      </w:r>
    </w:p>
    <w:p>
      <w:pPr>
        <w:spacing w:after="0" w:line="39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904" w:right="359" w:bottom="1440" w:gutter="0" w:footer="0" w:header="0"/>
        </w:sectPr>
      </w:pPr>
    </w:p>
    <w:bookmarkStart w:id="39" w:name="page40"/>
    <w:bookmarkEnd w:id="39"/>
    <w:p>
      <w:pPr>
        <w:ind w:left="1152" w:hanging="180"/>
        <w:spacing w:after="0"/>
        <w:tabs>
          <w:tab w:leader="none" w:pos="1152"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 of Indemnitee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8" w:firstLine="1304"/>
        <w:spacing w:after="0" w:line="254" w:lineRule="auto"/>
        <w:tabs>
          <w:tab w:leader="none" w:pos="1533"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(i) a determination is made pursuant to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of this Agreement that Indemnitee is not entitled to indemnification under this Agreement, (ii) advancement of Expenses is not timely made pursuant to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this Agreement, (iii) no determination of entitlement to indemnification is made pursuant to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xml:space="preserve"> of this Agreement within 30 days after receipt by the Company of the request for indemnification (subject to extension, as provided in </w:t>
      </w:r>
      <w:r>
        <w:rPr>
          <w:rFonts w:ascii="Times New Roman" w:cs="Times New Roman" w:eastAsia="Times New Roman" w:hAnsi="Times New Roman"/>
          <w:sz w:val="18"/>
          <w:szCs w:val="18"/>
          <w:u w:val="single" w:color="auto"/>
          <w:color w:val="auto"/>
        </w:rPr>
        <w:t>Section 5(f)</w:t>
      </w:r>
      <w:r>
        <w:rPr>
          <w:rFonts w:ascii="Times New Roman" w:cs="Times New Roman" w:eastAsia="Times New Roman" w:hAnsi="Times New Roman"/>
          <w:sz w:val="18"/>
          <w:szCs w:val="18"/>
          <w:color w:val="auto"/>
        </w:rPr>
        <w:t xml:space="preserve">), (iv) payment of indemnification is not made pursuant to this Agreement within ten (10) days after receipt by the Company of a written request therefor or (v) payment of indemnification is not made within ten (10) days after a determination has been made that Indemnitee is entitled to indemnification or such determination is deemed to have been made pursuant to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of this Agreement, Indemnitee shall be entitled to an adjudication in an appropriate court of the State of Delaware, or in any other court of competent jurisdiction, of Indemnitee’s entitlement to such indemnification. Indemnitee shall commence such proceeding seeking an adjudication within 180 days following the date on which Indemnitee first has the right to commence such proceeding pursuant to this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The Company shall not oppose Indemnitee’s right to seek any such adjudication.</w:t>
      </w:r>
    </w:p>
    <w:p>
      <w:pPr>
        <w:spacing w:after="0" w:line="188" w:lineRule="exact"/>
        <w:rPr>
          <w:rFonts w:ascii="Times New Roman" w:cs="Times New Roman" w:eastAsia="Times New Roman" w:hAnsi="Times New Roman"/>
          <w:sz w:val="18"/>
          <w:szCs w:val="18"/>
          <w:color w:val="auto"/>
        </w:rPr>
      </w:pPr>
    </w:p>
    <w:p>
      <w:pPr>
        <w:ind w:left="-8" w:right="220" w:firstLine="1304"/>
        <w:spacing w:after="0" w:line="266" w:lineRule="auto"/>
        <w:tabs>
          <w:tab w:leader="none" w:pos="1543"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a determination shall have been made pursuant to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xml:space="preserve"> of this Agreement that Indemnitee is not entitled to indemnification, any judicial proceeding commenced pursuant to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6 shall be conducted in all respects as a de novo trial on the merits, and Indemnitee shall not be prejudiced by reason of the adverse determination under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8" w:right="60" w:firstLine="1304"/>
        <w:spacing w:after="0" w:line="261" w:lineRule="auto"/>
        <w:tabs>
          <w:tab w:leader="none" w:pos="1533"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determination shall have been made pursuant to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xml:space="preserve"> of this Agreement that Indemnitee is entitled to indemnification, the Company shall be bound by such determination in any judicial proceeding commenced pursuant to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absent (i) a misstatement by Indemnitee of a material fact, or an omission of a material fact necessary to make Indemnitee’s misstatement not materially misleading in connection with the application for indemnification, or (ii) a prohibition of such indemnification under applicable law.</w:t>
      </w:r>
    </w:p>
    <w:p>
      <w:pPr>
        <w:spacing w:after="0" w:line="179" w:lineRule="exact"/>
        <w:rPr>
          <w:rFonts w:ascii="Times New Roman" w:cs="Times New Roman" w:eastAsia="Times New Roman" w:hAnsi="Times New Roman"/>
          <w:sz w:val="18"/>
          <w:szCs w:val="18"/>
          <w:color w:val="auto"/>
        </w:rPr>
      </w:pPr>
    </w:p>
    <w:p>
      <w:pPr>
        <w:ind w:left="-8" w:right="100" w:firstLine="1304"/>
        <w:spacing w:after="0" w:line="258" w:lineRule="auto"/>
        <w:tabs>
          <w:tab w:leader="none" w:pos="1543"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Indemnitee, pursuant to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seeks a judicial adjudication of his rights under, or to recover damages for breach of, this Agreement, or to recover under any directors’ and officers’ liability insurance policies maintained by the Company, the Company shall pay on his behalf, in advance within ten (10) days after the receipt by the Company of a statement from Indemnitee requesting such payment, any and all expenses (of the types described in the definition of Expenses in this Agreement) actually and reasonably incurred by him in such judicial adjudication, regardless of whether Indemnitee ultimately is determined to be entitled to such indemnification, advancement of expenses or insurance recovery.</w:t>
      </w:r>
    </w:p>
    <w:p>
      <w:pPr>
        <w:spacing w:after="0" w:line="183" w:lineRule="exact"/>
        <w:rPr>
          <w:rFonts w:ascii="Times New Roman" w:cs="Times New Roman" w:eastAsia="Times New Roman" w:hAnsi="Times New Roman"/>
          <w:sz w:val="18"/>
          <w:szCs w:val="18"/>
          <w:color w:val="auto"/>
        </w:rPr>
      </w:pPr>
    </w:p>
    <w:p>
      <w:pPr>
        <w:ind w:left="-8" w:right="80" w:firstLine="1304"/>
        <w:spacing w:after="0" w:line="272" w:lineRule="auto"/>
        <w:tabs>
          <w:tab w:leader="none" w:pos="1533" w:val="left"/>
        </w:tabs>
        <w:numPr>
          <w:ilvl w:val="2"/>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Company shall be precluded from asserting in any judicial proceeding commenced pursuant to this </w:t>
      </w:r>
      <w:r>
        <w:rPr>
          <w:rFonts w:ascii="Times New Roman" w:cs="Times New Roman" w:eastAsia="Times New Roman" w:hAnsi="Times New Roman"/>
          <w:sz w:val="17"/>
          <w:szCs w:val="17"/>
          <w:u w:val="single" w:color="auto"/>
          <w:color w:val="auto"/>
        </w:rPr>
        <w:t>Section 6</w:t>
      </w:r>
      <w:r>
        <w:rPr>
          <w:rFonts w:ascii="Times New Roman" w:cs="Times New Roman" w:eastAsia="Times New Roman" w:hAnsi="Times New Roman"/>
          <w:sz w:val="17"/>
          <w:szCs w:val="17"/>
          <w:color w:val="auto"/>
        </w:rPr>
        <w:t xml:space="preserve"> that the procedures and presumptions of this Agreement are not valid, binding and enforceable and shall stipulate in any such court that the Company is bound by all the provisions of this Agreement. The Company shall indemnify Indemnitee against any and all Expenses and, if requested by Indemnitee, shall (within ten</w:t>
      </w:r>
    </w:p>
    <w:p>
      <w:pPr>
        <w:spacing w:after="0" w:line="1" w:lineRule="exact"/>
        <w:rPr>
          <w:rFonts w:ascii="Times New Roman" w:cs="Times New Roman" w:eastAsia="Times New Roman" w:hAnsi="Times New Roman"/>
          <w:sz w:val="17"/>
          <w:szCs w:val="17"/>
          <w:color w:val="auto"/>
        </w:rPr>
      </w:pPr>
    </w:p>
    <w:p>
      <w:pPr>
        <w:ind w:left="-8" w:right="40" w:firstLine="8"/>
        <w:spacing w:after="0" w:line="253" w:lineRule="auto"/>
        <w:tabs>
          <w:tab w:leader="none" w:pos="33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receipt by the Company of a written request therefore) advance, to the extent not prohibited by law, such expenses to Indemnitee, which are incurred by Indemnitee in connection with any action brought by Indemnitee for indemnification or advance of Expenses from the Company under this Agreement or under any directors’ and officers’ liability insurance policies maintained by the Company, regardless of whether Indemnitee ultimately is determined to be entitled to such indemnification, advancement of Expenses or insurance recovery, as the case may be.</w:t>
      </w:r>
    </w:p>
    <w:p>
      <w:pPr>
        <w:spacing w:after="0" w:line="188" w:lineRule="exact"/>
        <w:rPr>
          <w:rFonts w:ascii="Times New Roman" w:cs="Times New Roman" w:eastAsia="Times New Roman" w:hAnsi="Times New Roman"/>
          <w:sz w:val="18"/>
          <w:szCs w:val="18"/>
          <w:color w:val="auto"/>
        </w:rPr>
      </w:pPr>
    </w:p>
    <w:p>
      <w:pPr>
        <w:ind w:left="-8" w:right="700" w:firstLine="1304"/>
        <w:spacing w:after="0" w:line="282" w:lineRule="auto"/>
        <w:tabs>
          <w:tab w:leader="none" w:pos="1513"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no determination as to entitlement to indemnification under this Agreement shall be required to be made prior to the final disposition of the Proceeding.</w:t>
      </w:r>
    </w:p>
    <w:p>
      <w:pPr>
        <w:spacing w:after="0" w:line="378"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92"/>
          </w:cols>
          <w:pgMar w:left="328" w:top="904" w:right="379" w:bottom="1440" w:gutter="0" w:footer="0" w:header="0"/>
        </w:sectPr>
      </w:pPr>
    </w:p>
    <w:bookmarkStart w:id="40" w:name="page41"/>
    <w:bookmarkEnd w:id="40"/>
    <w:p>
      <w:pPr>
        <w:ind w:left="1140" w:hanging="180"/>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Non-Exclusivity; Survival of Rights; Insurance; Primacy of Indemnification; Subrogation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 w:firstLine="1304"/>
        <w:spacing w:after="0" w:line="253" w:lineRule="auto"/>
        <w:tabs>
          <w:tab w:leader="none" w:pos="152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indemnification as provided by this Agreement shall not be deemed exclusive of any other rights to which Indemnitee may at any time be entitled under applicable law, the Certificate of Incorporation, the By-laws, any agreement, a vote of stockholders, a resolution of directors of the Company, or otherwise. No amendment, alteration or repeal of this Agreement or of any provision hereof shall limit or restrict any right of Indemnitee under this Agreement in respect of any action taken or omitted by such Indemnitee in his Corporate Status prior to such amendment, alteration or repeal. To the extent that a change in the DGCL, whether by statute or judicial decision, permits greater indemnification than would be afforded currently under the Certificate of Incorporation, By-laws and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194" w:lineRule="exact"/>
        <w:rPr>
          <w:rFonts w:ascii="Times New Roman" w:cs="Times New Roman" w:eastAsia="Times New Roman" w:hAnsi="Times New Roman"/>
          <w:sz w:val="18"/>
          <w:szCs w:val="18"/>
          <w:color w:val="auto"/>
        </w:rPr>
      </w:pPr>
    </w:p>
    <w:p>
      <w:pPr>
        <w:ind w:left="-20" w:right="100" w:firstLine="1304"/>
        <w:spacing w:after="0" w:line="254" w:lineRule="auto"/>
        <w:tabs>
          <w:tab w:leader="none" w:pos="153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Company maintains an insurance policy or policies providing liability insurance for directors, officers, employees, or agents or fiduciaries of the Company or of any other corporation, partnership, joint venture, trust, employee benefit plan or other enterprise that such person serves at the request of the Company, Indemnitee shall be covered by such policy or policies in accordance with its or their terms to the maximum extent of the coverage available for any director, officer, employee, agent or fiduciary under such policy or policies. If, at the time of the receipt of a notice of a claim pursuant to the terms hereof, the Company has directors’ and officers’ liability insurance in effect, the Company shall give prompt notice of the commencement of such proceeding to the insurers in accordance with the procedures set forth in the respective policies. The Company shall thereafter take all necessary or desirable action to cause such insurers to pay, on behalf of the Indemnitee, all amounts payable as a result of such proceeding in accordance with the terms of such policies.</w:t>
      </w:r>
    </w:p>
    <w:p>
      <w:pPr>
        <w:spacing w:after="0" w:line="191" w:lineRule="exact"/>
        <w:rPr>
          <w:rFonts w:ascii="Times New Roman" w:cs="Times New Roman" w:eastAsia="Times New Roman" w:hAnsi="Times New Roman"/>
          <w:sz w:val="18"/>
          <w:szCs w:val="18"/>
          <w:color w:val="auto"/>
        </w:rPr>
      </w:pPr>
    </w:p>
    <w:p>
      <w:pPr>
        <w:ind w:left="-20" w:right="80" w:firstLine="1304"/>
        <w:spacing w:after="0" w:line="266" w:lineRule="auto"/>
        <w:tabs>
          <w:tab w:leader="none" w:pos="152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payment under this Agreement, the Company shall be subrogated to the extent of such payment to all of the rights of recovery of Indemnitee (other than against the Outside Indemnitors), who shall execute all papers required and take all action necessary to secure such rights, including execution of such documents as are necessary to enable the Company to bring suit to enforce such rights.</w:t>
      </w:r>
    </w:p>
    <w:p>
      <w:pPr>
        <w:spacing w:after="0" w:line="175" w:lineRule="exact"/>
        <w:rPr>
          <w:rFonts w:ascii="Times New Roman" w:cs="Times New Roman" w:eastAsia="Times New Roman" w:hAnsi="Times New Roman"/>
          <w:sz w:val="18"/>
          <w:szCs w:val="18"/>
          <w:color w:val="auto"/>
        </w:rPr>
      </w:pPr>
    </w:p>
    <w:p>
      <w:pPr>
        <w:ind w:left="-20" w:firstLine="1304"/>
        <w:spacing w:after="0" w:line="253" w:lineRule="auto"/>
        <w:tabs>
          <w:tab w:leader="none" w:pos="153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acknowledges that the Indemnitee may have other sources of indemnification or insurance, whether currently in force or established in the future (collectively, the “</w:t>
      </w:r>
      <w:r>
        <w:rPr>
          <w:rFonts w:ascii="Times New Roman" w:cs="Times New Roman" w:eastAsia="Times New Roman" w:hAnsi="Times New Roman"/>
          <w:sz w:val="18"/>
          <w:szCs w:val="18"/>
          <w:b w:val="1"/>
          <w:bCs w:val="1"/>
          <w:color w:val="auto"/>
        </w:rPr>
        <w:t>Outside Indemnitors</w:t>
      </w:r>
      <w:r>
        <w:rPr>
          <w:rFonts w:ascii="Times New Roman" w:cs="Times New Roman" w:eastAsia="Times New Roman" w:hAnsi="Times New Roman"/>
          <w:sz w:val="18"/>
          <w:szCs w:val="18"/>
          <w:color w:val="auto"/>
        </w:rPr>
        <w:t>”). The Company hereby agrees: (i) that it is the indemnitor of first resort (i.e., its obligations to the Indemnitee are primary and any obligation of the Outside Indemnitors to advance expenses or to provide indemnification for the same expenses or liabilities incurred by the Indemnitee are secondary); (ii) that it shall be required to advance the full amount of Expenses incurred by the Indemnitee and shall be liable in full for all indemnifiable amounts to the extent legally permitted and as required by the Company’s Certificate of Incorporation and Bylaws or any agreement between the Company and the Indemnitee, without regard to any rights the Indemnitee may have against the Outside Indemnitors and (iii) that it irrevocably waives, relinquishes and releases the Outside Indemnitors from any and all claims against the Outside Indemnitors for contribution, subrogation or any other recovery of any kind in respect thereof. The Company further agrees that no advancement or payment by the Outside Indemnitors on behalf of the Indemnitee with respect to any claim for which the Indemnitee have sought indemnification from the Company shall affect the foregoing and the Outside Indemnitors shall have a right of contribution and/or be subrogated to the extent of such advancement or payment to all of the rights of recovery of the Indemnitee against the Company. The Company and the Indemnitee agree that the Outside Indemnitors are express third party beneficiaries of the terms hereof.</w:t>
      </w:r>
    </w:p>
    <w:p>
      <w:pPr>
        <w:spacing w:after="0" w:line="189" w:lineRule="exact"/>
        <w:rPr>
          <w:rFonts w:ascii="Times New Roman" w:cs="Times New Roman" w:eastAsia="Times New Roman" w:hAnsi="Times New Roman"/>
          <w:sz w:val="18"/>
          <w:szCs w:val="18"/>
          <w:color w:val="auto"/>
        </w:rPr>
      </w:pPr>
    </w:p>
    <w:p>
      <w:pPr>
        <w:ind w:left="-20" w:right="80" w:firstLine="1304"/>
        <w:spacing w:after="0" w:line="261" w:lineRule="auto"/>
        <w:tabs>
          <w:tab w:leader="none" w:pos="152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obligation to indemnify or advance Expenses hereunder to Indemnitee who is or was serving at the request of the Company as a director, officer, employee or agent of any other corporation, partnership, joint venture, trust, employee benefit plan or other enterprise shall be reduced by any amount Indemnitee has actually received as indemnification or advancement of expenses from such other corporation, partnership, joint venture, trust, employee benefit plan or other enterprise.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904" w:right="359" w:bottom="1440" w:gutter="0" w:footer="0" w:header="0"/>
        </w:sectPr>
      </w:pPr>
    </w:p>
    <w:bookmarkStart w:id="41" w:name="page42"/>
    <w:bookmarkEnd w:id="41"/>
    <w:p>
      <w:pPr>
        <w:ind w:left="-40" w:right="240" w:firstLine="980"/>
        <w:spacing w:after="0" w:line="282" w:lineRule="auto"/>
        <w:tabs>
          <w:tab w:leader="none" w:pos="111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Exception to Right of Indemnification</w:t>
      </w:r>
      <w:r>
        <w:rPr>
          <w:rFonts w:ascii="Times New Roman" w:cs="Times New Roman" w:eastAsia="Times New Roman" w:hAnsi="Times New Roman"/>
          <w:sz w:val="18"/>
          <w:szCs w:val="18"/>
          <w:color w:val="auto"/>
        </w:rPr>
        <w:t>. Notwithstanding any provision in this Agreement, the Company shall not be obligated under this Agreement to make any indemnity in connection with any claim made against Indemnitee:</w:t>
      </w:r>
    </w:p>
    <w:p>
      <w:pPr>
        <w:spacing w:after="0" w:line="161" w:lineRule="exact"/>
        <w:rPr>
          <w:rFonts w:ascii="Times New Roman" w:cs="Times New Roman" w:eastAsia="Times New Roman" w:hAnsi="Times New Roman"/>
          <w:sz w:val="18"/>
          <w:szCs w:val="18"/>
          <w:color w:val="auto"/>
        </w:rPr>
      </w:pPr>
    </w:p>
    <w:p>
      <w:pPr>
        <w:ind w:left="-40" w:right="240" w:firstLine="1304"/>
        <w:spacing w:after="0" w:line="312" w:lineRule="auto"/>
        <w:tabs>
          <w:tab w:leader="none" w:pos="1501"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for an accounting of profits made from the purchase and sale (or sale and purchase) by Indemnitee of securities of the Company within the meaning of </w:t>
      </w:r>
      <w:r>
        <w:rPr>
          <w:rFonts w:ascii="Times New Roman" w:cs="Times New Roman" w:eastAsia="Times New Roman" w:hAnsi="Times New Roman"/>
          <w:sz w:val="17"/>
          <w:szCs w:val="17"/>
          <w:u w:val="single" w:color="auto"/>
          <w:color w:val="auto"/>
        </w:rPr>
        <w:t>Section 16(b)</w:t>
      </w:r>
      <w:r>
        <w:rPr>
          <w:rFonts w:ascii="Times New Roman" w:cs="Times New Roman" w:eastAsia="Times New Roman" w:hAnsi="Times New Roman"/>
          <w:sz w:val="17"/>
          <w:szCs w:val="17"/>
          <w:color w:val="auto"/>
        </w:rPr>
        <w:t xml:space="preserve"> of the Securities Exchange Act of 1934, as amended, or similar provisions of state statutory law or common law; or</w:t>
      </w:r>
    </w:p>
    <w:p>
      <w:pPr>
        <w:spacing w:after="0" w:line="139" w:lineRule="exact"/>
        <w:rPr>
          <w:rFonts w:ascii="Times New Roman" w:cs="Times New Roman" w:eastAsia="Times New Roman" w:hAnsi="Times New Roman"/>
          <w:sz w:val="17"/>
          <w:szCs w:val="17"/>
          <w:color w:val="auto"/>
        </w:rPr>
      </w:pPr>
    </w:p>
    <w:p>
      <w:pPr>
        <w:ind w:left="-40" w:right="60" w:firstLine="1304"/>
        <w:spacing w:after="0" w:line="258" w:lineRule="auto"/>
        <w:tabs>
          <w:tab w:leader="none" w:pos="1511"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Proceeding (or any part of any Proceeding) initiated by Indemnitee, including any Proceeding (or any part of any Proceeding) initiated by Indemnitee against the Company or its directors, officers, employees or other indemnitees, unless (i) the Board authorized the Proceeding (or any part of any Proceeding) prior to its initiation, (ii) the Company provides the indemnification, in its sole discretion, pursuant to the powers vested in the Company under applicable law or (iii) such Proceeding is brought by Indemnitee to assert, interpret or enforce his rights under this Agreement.</w:t>
      </w:r>
    </w:p>
    <w:p>
      <w:pPr>
        <w:spacing w:after="0" w:line="183" w:lineRule="exact"/>
        <w:rPr>
          <w:rFonts w:ascii="Times New Roman" w:cs="Times New Roman" w:eastAsia="Times New Roman" w:hAnsi="Times New Roman"/>
          <w:sz w:val="18"/>
          <w:szCs w:val="18"/>
          <w:color w:val="auto"/>
        </w:rPr>
      </w:pPr>
    </w:p>
    <w:p>
      <w:pPr>
        <w:ind w:left="-40" w:right="20" w:firstLine="980"/>
        <w:spacing w:after="0" w:line="254" w:lineRule="auto"/>
        <w:tabs>
          <w:tab w:leader="none" w:pos="111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Duration of Agreement</w:t>
      </w:r>
      <w:r>
        <w:rPr>
          <w:rFonts w:ascii="Times New Roman" w:cs="Times New Roman" w:eastAsia="Times New Roman" w:hAnsi="Times New Roman"/>
          <w:sz w:val="18"/>
          <w:szCs w:val="18"/>
          <w:color w:val="auto"/>
        </w:rPr>
        <w:t xml:space="preserve">. All agreements and obligations of the Company contained herein shall continue during the period Indemnitee is an officer or director of the Company (or is or was serving at the request of the Company as a director, officer, employee or agent of another corporation, partnership, joint venture, trust or other enterprise) and shall continue thereafter so long as Indemnitee shall be subject to any Proceeding (or any proceeding commenced under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hereof) by reason of his Corporate Status, whether or not he is acting or serving in any such capacity at the time any liability or expense is incurred for which indemnification can be provided under this Agreement. This Agreement shall be binding upon and inure to the benefit of and be enforceable by the parties hereto and their respective successors (including any direct or indirect successor by purchase, merger, consolidation or otherwise to all or substantially all of the business or assets of the Company), assigns, spouses, heirs, executors and personal and legal representatives.</w:t>
      </w:r>
    </w:p>
    <w:p>
      <w:pPr>
        <w:spacing w:after="0" w:line="191" w:lineRule="exact"/>
        <w:rPr>
          <w:rFonts w:ascii="Times New Roman" w:cs="Times New Roman" w:eastAsia="Times New Roman" w:hAnsi="Times New Roman"/>
          <w:sz w:val="18"/>
          <w:szCs w:val="18"/>
          <w:color w:val="auto"/>
        </w:rPr>
      </w:pPr>
    </w:p>
    <w:p>
      <w:pPr>
        <w:ind w:left="-40" w:right="60" w:firstLine="980"/>
        <w:spacing w:after="0" w:line="266" w:lineRule="auto"/>
        <w:tabs>
          <w:tab w:leader="none" w:pos="120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Security</w:t>
      </w:r>
      <w:r>
        <w:rPr>
          <w:rFonts w:ascii="Times New Roman" w:cs="Times New Roman" w:eastAsia="Times New Roman" w:hAnsi="Times New Roman"/>
          <w:sz w:val="18"/>
          <w:szCs w:val="18"/>
          <w:color w:val="auto"/>
        </w:rPr>
        <w:t>. To the extent requested by Indemnitee and approved by the Board, the Company may at any time and from time to time provide security to Indemnitee for the Company’s obligations hereunder through an irrevocable bank line of credit, funded trust or other collateral. Any such security, once provided to Indemnitee, may not be revoked or released without the prior written consent of the Indemnitee.</w:t>
      </w:r>
    </w:p>
    <w:p>
      <w:pPr>
        <w:spacing w:after="0" w:line="175" w:lineRule="exact"/>
        <w:rPr>
          <w:rFonts w:ascii="Times New Roman" w:cs="Times New Roman" w:eastAsia="Times New Roman" w:hAnsi="Times New Roman"/>
          <w:sz w:val="18"/>
          <w:szCs w:val="18"/>
          <w:color w:val="auto"/>
        </w:rPr>
      </w:pPr>
    </w:p>
    <w:p>
      <w:pPr>
        <w:ind w:left="1200" w:hanging="260"/>
        <w:spacing w:after="0"/>
        <w:tabs>
          <w:tab w:leader="none" w:pos="12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Enforcement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0" w:firstLine="1304"/>
        <w:spacing w:after="0" w:line="266" w:lineRule="auto"/>
        <w:tabs>
          <w:tab w:leader="none" w:pos="1501"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expressly confirms and agrees that it has entered into this Agreement and assumes the obligations imposed on it hereby in order to induce Indemnitee to serve as an officer or director of the Company, and the Company acknowledges that Indemnitee is relying upon this Agreement in serving as an officer or director of the Company.</w:t>
      </w:r>
    </w:p>
    <w:p>
      <w:pPr>
        <w:spacing w:after="0" w:line="175" w:lineRule="exact"/>
        <w:rPr>
          <w:rFonts w:ascii="Times New Roman" w:cs="Times New Roman" w:eastAsia="Times New Roman" w:hAnsi="Times New Roman"/>
          <w:sz w:val="18"/>
          <w:szCs w:val="18"/>
          <w:color w:val="auto"/>
        </w:rPr>
      </w:pPr>
    </w:p>
    <w:p>
      <w:pPr>
        <w:ind w:left="-40" w:right="160" w:firstLine="1304"/>
        <w:spacing w:after="0" w:line="282" w:lineRule="auto"/>
        <w:tabs>
          <w:tab w:leader="none" w:pos="1511"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spacing w:after="0" w:line="161" w:lineRule="exact"/>
        <w:rPr>
          <w:rFonts w:ascii="Times New Roman" w:cs="Times New Roman" w:eastAsia="Times New Roman" w:hAnsi="Times New Roman"/>
          <w:sz w:val="18"/>
          <w:szCs w:val="18"/>
          <w:color w:val="auto"/>
        </w:rPr>
      </w:pPr>
    </w:p>
    <w:p>
      <w:pPr>
        <w:ind w:left="-40" w:right="580" w:firstLine="1304"/>
        <w:spacing w:after="0" w:line="282" w:lineRule="auto"/>
        <w:tabs>
          <w:tab w:leader="none" w:pos="1501"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seek from a court, or agree to, a “bar order” which would have the effect of prohibiting or limiting the Indemnitee’s rights to receive advancement of expenses under this Agreement.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904" w:right="379" w:bottom="1440" w:gutter="0" w:footer="0" w:header="0"/>
        </w:sectPr>
      </w:pPr>
    </w:p>
    <w:bookmarkStart w:id="42" w:name="page43"/>
    <w:bookmarkEnd w:id="42"/>
    <w:p>
      <w:pPr>
        <w:ind w:left="1220" w:hanging="260"/>
        <w:spacing w:after="0"/>
        <w:tabs>
          <w:tab w:leader="none" w:pos="12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Agreement:</w:t>
      </w:r>
    </w:p>
    <w:p>
      <w:pPr>
        <w:spacing w:after="0" w:line="221" w:lineRule="exact"/>
        <w:rPr>
          <w:rFonts w:ascii="Times New Roman" w:cs="Times New Roman" w:eastAsia="Times New Roman" w:hAnsi="Times New Roman"/>
          <w:sz w:val="18"/>
          <w:szCs w:val="18"/>
          <w:color w:val="auto"/>
        </w:rPr>
      </w:pPr>
    </w:p>
    <w:p>
      <w:pPr>
        <w:ind w:left="-20" w:right="40" w:firstLine="1304"/>
        <w:spacing w:after="0" w:line="268" w:lineRule="auto"/>
        <w:tabs>
          <w:tab w:leader="none" w:pos="152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Corporate Status</w:t>
      </w:r>
      <w:r>
        <w:rPr>
          <w:rFonts w:ascii="Times New Roman" w:cs="Times New Roman" w:eastAsia="Times New Roman" w:hAnsi="Times New Roman"/>
          <w:sz w:val="18"/>
          <w:szCs w:val="18"/>
          <w:color w:val="auto"/>
        </w:rPr>
        <w:t>” describes the status of a person who is or was a director, officer, employee, agent or fiduciary of the Company or any subsidiary thereof or of any other corporation, partnership, joint venture, trust, employee benefit plan or other enterprise that such person is or was serving at the express written request of the Company.</w:t>
      </w:r>
    </w:p>
    <w:p>
      <w:pPr>
        <w:spacing w:after="0" w:line="170" w:lineRule="exact"/>
        <w:rPr>
          <w:rFonts w:ascii="Times New Roman" w:cs="Times New Roman" w:eastAsia="Times New Roman" w:hAnsi="Times New Roman"/>
          <w:sz w:val="18"/>
          <w:szCs w:val="18"/>
          <w:color w:val="auto"/>
        </w:rPr>
      </w:pPr>
    </w:p>
    <w:p>
      <w:pPr>
        <w:ind w:left="-20" w:right="120" w:firstLine="1304"/>
        <w:spacing w:after="0" w:line="268" w:lineRule="auto"/>
        <w:tabs>
          <w:tab w:leader="none" w:pos="153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Disinterested Director</w:t>
      </w:r>
      <w:r>
        <w:rPr>
          <w:rFonts w:ascii="Times New Roman" w:cs="Times New Roman" w:eastAsia="Times New Roman" w:hAnsi="Times New Roman"/>
          <w:sz w:val="18"/>
          <w:szCs w:val="18"/>
          <w:color w:val="auto"/>
        </w:rPr>
        <w:t>” means a director of the Company who is not and was not a party to the Proceeding in respect of which indemnification is sought by Indemnitee and who is not subject to any other relationship that may reasonably prejudice such director’s determination as to the Indemnitee’s entitlement to indemnification hereunder.</w:t>
      </w:r>
    </w:p>
    <w:p>
      <w:pPr>
        <w:spacing w:after="0" w:line="170" w:lineRule="exact"/>
        <w:rPr>
          <w:rFonts w:ascii="Times New Roman" w:cs="Times New Roman" w:eastAsia="Times New Roman" w:hAnsi="Times New Roman"/>
          <w:sz w:val="18"/>
          <w:szCs w:val="18"/>
          <w:color w:val="auto"/>
        </w:rPr>
      </w:pPr>
    </w:p>
    <w:p>
      <w:pPr>
        <w:ind w:left="-20" w:right="360" w:firstLine="1304"/>
        <w:spacing w:after="0" w:line="286" w:lineRule="auto"/>
        <w:tabs>
          <w:tab w:leader="none" w:pos="152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Enterprise</w:t>
      </w:r>
      <w:r>
        <w:rPr>
          <w:rFonts w:ascii="Times New Roman" w:cs="Times New Roman" w:eastAsia="Times New Roman" w:hAnsi="Times New Roman"/>
          <w:sz w:val="18"/>
          <w:szCs w:val="18"/>
          <w:color w:val="auto"/>
        </w:rPr>
        <w:t>” shall mean the Company and any other corporation, partnership, joint venture, trust, employee benefit plan or other enterprise that Indemnitee is or was serving at the express written request of the Company as a director, officer, employee, agent or fiduciary.</w:t>
      </w:r>
    </w:p>
    <w:p>
      <w:pPr>
        <w:spacing w:after="0" w:line="154" w:lineRule="exact"/>
        <w:rPr>
          <w:rFonts w:ascii="Times New Roman" w:cs="Times New Roman" w:eastAsia="Times New Roman" w:hAnsi="Times New Roman"/>
          <w:sz w:val="18"/>
          <w:szCs w:val="18"/>
          <w:color w:val="auto"/>
        </w:rPr>
      </w:pPr>
    </w:p>
    <w:p>
      <w:pPr>
        <w:ind w:left="-20" w:right="40" w:firstLine="1304"/>
        <w:spacing w:after="0" w:line="256" w:lineRule="auto"/>
        <w:tabs>
          <w:tab w:leader="none" w:pos="153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Expenses</w:t>
      </w:r>
      <w:r>
        <w:rPr>
          <w:rFonts w:ascii="Times New Roman" w:cs="Times New Roman" w:eastAsia="Times New Roman" w:hAnsi="Times New Roman"/>
          <w:sz w:val="18"/>
          <w:szCs w:val="18"/>
          <w:color w:val="auto"/>
        </w:rPr>
        <w:t>” shall include all reasonable attorneys’ fees, retainers, court costs, transcript costs, fees of experts, witness fees, travel expenses, duplicating costs, printing and binding costs, telephone charges, postage, delivery service fees and all other disbursements or expenses of the types customarily incurred in connection with prosecuting, defending, preparing to prosecute or defend, investigating, participating, or being or preparing to be a witness in a Proceeding, or responding to, or objecting to, a request to provide discovery in any Proceeding. Expenses also shall include Expenses incurred in connection with any appeal resulting from any Proceeding and any federal, state, local or foreign taxes imposed on the Indemnitee as a result of the actual or deemed receipt of any payments under this Agreement, including without limitation the premium, security for, and other costs relating to any cost bond, supersede as bond, or other appeal bond or its equivalent.</w:t>
      </w:r>
    </w:p>
    <w:p>
      <w:pPr>
        <w:spacing w:after="0" w:line="182" w:lineRule="exact"/>
        <w:rPr>
          <w:rFonts w:ascii="Times New Roman" w:cs="Times New Roman" w:eastAsia="Times New Roman" w:hAnsi="Times New Roman"/>
          <w:sz w:val="18"/>
          <w:szCs w:val="18"/>
          <w:color w:val="auto"/>
        </w:rPr>
      </w:pPr>
    </w:p>
    <w:p>
      <w:pPr>
        <w:ind w:left="-20" w:right="80" w:firstLine="1304"/>
        <w:spacing w:after="0" w:line="255" w:lineRule="auto"/>
        <w:tabs>
          <w:tab w:leader="none" w:pos="152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Independent Counsel</w:t>
      </w:r>
      <w:r>
        <w:rPr>
          <w:rFonts w:ascii="Times New Roman" w:cs="Times New Roman" w:eastAsia="Times New Roman" w:hAnsi="Times New Roman"/>
          <w:sz w:val="18"/>
          <w:szCs w:val="18"/>
          <w:color w:val="auto"/>
        </w:rPr>
        <w:t>” means a law firm, or a member of a law firm, that is experienced in matters of corporation law and neither presently is, nor in the past five years has been, retained to represent: (i) the Company or Indemnitee in any matter material to either such party (other than with respect to matters concerning Indemnitee under this Agreement, or of other indemnitees under similar indemnification agreements),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 The Company agrees to pay the reasonable fees of the Independent Counsel referred to above and to fully indemnify such counsel against any and all Expenses, claims, liabilities and damages arising out of or relating to this Agreement or its engagement pursuant hereto.</w:t>
      </w:r>
    </w:p>
    <w:p>
      <w:pPr>
        <w:spacing w:after="0" w:line="184" w:lineRule="exact"/>
        <w:rPr>
          <w:rFonts w:ascii="Times New Roman" w:cs="Times New Roman" w:eastAsia="Times New Roman" w:hAnsi="Times New Roman"/>
          <w:sz w:val="18"/>
          <w:szCs w:val="18"/>
          <w:color w:val="auto"/>
        </w:rPr>
      </w:pPr>
    </w:p>
    <w:p>
      <w:pPr>
        <w:ind w:left="-20" w:firstLine="1304"/>
        <w:spacing w:after="0" w:line="256" w:lineRule="auto"/>
        <w:tabs>
          <w:tab w:leader="none" w:pos="150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Proceeding</w:t>
      </w:r>
      <w:r>
        <w:rPr>
          <w:rFonts w:ascii="Times New Roman" w:cs="Times New Roman" w:eastAsia="Times New Roman" w:hAnsi="Times New Roman"/>
          <w:sz w:val="18"/>
          <w:szCs w:val="18"/>
          <w:color w:val="auto"/>
        </w:rPr>
        <w:t xml:space="preserve">” includes any threatened, pending or completed action, suit, arbitration, alternate dispute resolution mechanism, investigation, inquiry, administrative hearing or any other actual, threatened or completed proceeding, whether brought by or in the right of the Company or otherwise and whether civil, criminal, administrative or investigative, in which Indemnitee was, is or will be involved as a party or otherwise, by reason of his or his Corporate Status, by reason of any action taken by him or of any inaction on his part while acting in his Corporate Status; in each case whether or not he is acting or serving in any such capacity at the time any liability or expense is incurred for which indemnification can be provided under this Agreement; including one pending on or before the date of this Agreement, but excluding one initiated by an Indemnitee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6 of this Agreement to enforce his rights under this Agreement.</w:t>
      </w:r>
    </w:p>
    <w:p>
      <w:pPr>
        <w:spacing w:after="0" w:line="186" w:lineRule="exact"/>
        <w:rPr>
          <w:rFonts w:ascii="Times New Roman" w:cs="Times New Roman" w:eastAsia="Times New Roman" w:hAnsi="Times New Roman"/>
          <w:sz w:val="18"/>
          <w:szCs w:val="18"/>
          <w:color w:val="auto"/>
        </w:rPr>
      </w:pPr>
    </w:p>
    <w:p>
      <w:pPr>
        <w:ind w:left="-20" w:right="240" w:firstLine="980"/>
        <w:spacing w:after="0" w:line="261" w:lineRule="auto"/>
        <w:tabs>
          <w:tab w:leader="none" w:pos="122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invalidity or unenforceability of any provision hereof shall in no way affect the validity or enforceability of any other provision. Without limiting the generality of the foregoing, this Agreement is intended to confer upon Indemnitee indemnification rights to the fullest extent permitted by applicable laws. In the event any provision hereof conflicts with any applicable law, such provision shall be deemed modified, consistent with the aforementioned intent, to the extent necessary to resolve such conflict.</w:t>
      </w:r>
    </w:p>
    <w:p>
      <w:pPr>
        <w:spacing w:after="0" w:line="179" w:lineRule="exact"/>
        <w:rPr>
          <w:rFonts w:ascii="Times New Roman" w:cs="Times New Roman" w:eastAsia="Times New Roman" w:hAnsi="Times New Roman"/>
          <w:sz w:val="18"/>
          <w:szCs w:val="18"/>
          <w:color w:val="auto"/>
        </w:rPr>
      </w:pPr>
    </w:p>
    <w:p>
      <w:pPr>
        <w:ind w:left="-20" w:right="80" w:firstLine="980"/>
        <w:spacing w:after="0" w:line="266" w:lineRule="auto"/>
        <w:tabs>
          <w:tab w:leader="none" w:pos="122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 and Waiver</w:t>
      </w:r>
      <w:r>
        <w:rPr>
          <w:rFonts w:ascii="Times New Roman" w:cs="Times New Roman" w:eastAsia="Times New Roman" w:hAnsi="Times New Roman"/>
          <w:sz w:val="18"/>
          <w:szCs w:val="18"/>
          <w:color w:val="auto"/>
        </w:rPr>
        <w:t>. No supplement, modification, termination or amendment of this Agreement shall be binding unless executed in writing by both of the parties hereto. No waiver of any of the provisions of this Agreement shall be deemed or shall constitute a waiver of any other provisions hereof (whether or not similar) nor shall such waiver constitute a continuing waiver.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904" w:right="359" w:bottom="1440" w:gutter="0" w:footer="0" w:header="0"/>
        </w:sectPr>
      </w:pPr>
    </w:p>
    <w:bookmarkStart w:id="43" w:name="page44"/>
    <w:bookmarkEnd w:id="43"/>
    <w:p>
      <w:pPr>
        <w:ind w:left="-20" w:right="60" w:firstLine="980"/>
        <w:spacing w:after="0" w:line="261" w:lineRule="auto"/>
        <w:tabs>
          <w:tab w:leader="none" w:pos="122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By Indemnitee</w:t>
      </w:r>
      <w:r>
        <w:rPr>
          <w:rFonts w:ascii="Times New Roman" w:cs="Times New Roman" w:eastAsia="Times New Roman" w:hAnsi="Times New Roman"/>
          <w:sz w:val="18"/>
          <w:szCs w:val="18"/>
          <w:color w:val="auto"/>
        </w:rPr>
        <w:t>. Indemnitee agrees promptly to notify the Company in writing upon being served with or otherwise receiving any summons, citation, subpoena, complaint, indictment, information or other document relating to any Proceeding or matter which may be subject to indemnification covered hereunder. The failure to so notify the Company shall not relieve the Company of any obligation which it may have to Indemnitee under this Agreement or otherwise unless and only to the extent that such failure or delay materially prejudices the Company.</w:t>
      </w:r>
    </w:p>
    <w:p>
      <w:pPr>
        <w:spacing w:after="0" w:line="179" w:lineRule="exact"/>
        <w:rPr>
          <w:rFonts w:ascii="Times New Roman" w:cs="Times New Roman" w:eastAsia="Times New Roman" w:hAnsi="Times New Roman"/>
          <w:sz w:val="18"/>
          <w:szCs w:val="18"/>
          <w:color w:val="auto"/>
        </w:rPr>
      </w:pPr>
    </w:p>
    <w:p>
      <w:pPr>
        <w:ind w:left="-20" w:right="40" w:firstLine="980"/>
        <w:spacing w:after="0" w:line="255" w:lineRule="auto"/>
        <w:tabs>
          <w:tab w:leader="none" w:pos="122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given or made pursuant to this Agreement shall be in writing and shall be deemed effectively given: (a) upon personal delivery to the party to be notified, (b) when sent by confirmed electronic mail or facsimile if sent during normal business hours of the recipient, and if not so confirmed, then on the next business day, (c) five (5) days after having been sent by registered or certified mail, return receipt requested, postage prepaid, or (d) one (1) day after deposit with a nationally recognized overnight courier, specifying next day delivery, with written verification of receipt. All communications shall be sent to Indemnitee at the address set forth below Indemnitee signature hereto, and to the Company, at its principal executive offices to the attention of the President, or to such other address as may have been furnished to Indemnitee by the Company or to the Company by Indemnitee, as the case may be.</w:t>
      </w:r>
    </w:p>
    <w:p>
      <w:pPr>
        <w:spacing w:after="0" w:line="188" w:lineRule="exact"/>
        <w:rPr>
          <w:rFonts w:ascii="Times New Roman" w:cs="Times New Roman" w:eastAsia="Times New Roman" w:hAnsi="Times New Roman"/>
          <w:sz w:val="18"/>
          <w:szCs w:val="18"/>
          <w:color w:val="auto"/>
        </w:rPr>
      </w:pPr>
    </w:p>
    <w:p>
      <w:pPr>
        <w:ind w:left="-20" w:right="140" w:firstLine="980"/>
        <w:spacing w:after="0" w:line="266" w:lineRule="auto"/>
        <w:tabs>
          <w:tab w:leader="none" w:pos="122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or more counterparts, each of which shall be deemed an original, but all of which together shall constitute one and the same Agreement. This Agreement may also be executed and delivered by facsimile signature and in two or more counterparts, each of which shall be deemed an original, but all of which together shall constitute one and the same instrument.</w:t>
      </w:r>
    </w:p>
    <w:p>
      <w:pPr>
        <w:spacing w:after="0" w:line="175" w:lineRule="exact"/>
        <w:rPr>
          <w:rFonts w:ascii="Times New Roman" w:cs="Times New Roman" w:eastAsia="Times New Roman" w:hAnsi="Times New Roman"/>
          <w:sz w:val="18"/>
          <w:szCs w:val="18"/>
          <w:color w:val="auto"/>
        </w:rPr>
      </w:pPr>
    </w:p>
    <w:p>
      <w:pPr>
        <w:ind w:left="-20" w:right="120" w:firstLine="980"/>
        <w:spacing w:after="0" w:line="282" w:lineRule="auto"/>
        <w:tabs>
          <w:tab w:leader="none" w:pos="122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of the paragraphs of this Agreement are inserted for convenience only and shall not be deemed to constitute part of this Agreement or to affect the construction thereof.</w:t>
      </w:r>
    </w:p>
    <w:p>
      <w:pPr>
        <w:spacing w:after="0" w:line="161" w:lineRule="exact"/>
        <w:rPr>
          <w:rFonts w:ascii="Times New Roman" w:cs="Times New Roman" w:eastAsia="Times New Roman" w:hAnsi="Times New Roman"/>
          <w:sz w:val="18"/>
          <w:szCs w:val="18"/>
          <w:color w:val="auto"/>
        </w:rPr>
      </w:pPr>
    </w:p>
    <w:p>
      <w:pPr>
        <w:ind w:left="-20" w:firstLine="980"/>
        <w:spacing w:after="0" w:line="254" w:lineRule="auto"/>
        <w:tabs>
          <w:tab w:leader="none" w:pos="122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and Consent to Jurisdiction.</w:t>
      </w:r>
      <w:r>
        <w:rPr>
          <w:rFonts w:ascii="Times New Roman" w:cs="Times New Roman" w:eastAsia="Times New Roman" w:hAnsi="Times New Roman"/>
          <w:sz w:val="18"/>
          <w:szCs w:val="18"/>
          <w:color w:val="auto"/>
        </w:rPr>
        <w:t xml:space="preserve"> This Agreement and the legal relations among the parties with respect to the subject matter of this Agreement shall be governed by, and construed and enforced in accordance with, the laws of the State of Delaware, without regard to its conflict of laws rules. The Company and Indemnitee hereby irrevocably and unconditionally (i) agree that any action or proceeding arising out of or in connection with this Agreement shall be brought only in the Chancery Court of the State of Delaware (the “</w:t>
      </w:r>
      <w:r>
        <w:rPr>
          <w:rFonts w:ascii="Times New Roman" w:cs="Times New Roman" w:eastAsia="Times New Roman" w:hAnsi="Times New Roman"/>
          <w:sz w:val="18"/>
          <w:szCs w:val="18"/>
          <w:b w:val="1"/>
          <w:bCs w:val="1"/>
          <w:color w:val="auto"/>
        </w:rPr>
        <w:t>Delaware Court</w:t>
      </w:r>
      <w:r>
        <w:rPr>
          <w:rFonts w:ascii="Times New Roman" w:cs="Times New Roman" w:eastAsia="Times New Roman" w:hAnsi="Times New Roman"/>
          <w:sz w:val="18"/>
          <w:szCs w:val="18"/>
          <w:color w:val="auto"/>
        </w:rPr>
        <w:t>”), and not in any other state or federal court in the United States of America or any court in any other country, (ii) consent to submit to the exclusive jurisdiction of the Delaware Court for purposes of any action or proceeding arising out of or in connection with this Agreement, (iii) waive any objection to the laying of venue of any such action or proceeding in the Delaware Court, and (iv) waive, and agree not to plead or to make, any claim that any such action or proceeding brought in the Delaware Court has been brought in an improper or inconvenient forum.</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SIGNATURE PAGE TO FOLLOW</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904" w:right="359" w:bottom="1440" w:gutter="0" w:footer="0" w:header="0"/>
        </w:sectPr>
      </w:pPr>
    </w:p>
    <w:bookmarkStart w:id="44" w:name="page45"/>
    <w:bookmarkEnd w:id="44"/>
    <w:p>
      <w:pPr>
        <w:ind w:left="660"/>
        <w:spacing w:after="0"/>
        <w:rPr>
          <w:sz w:val="20"/>
          <w:szCs w:val="20"/>
          <w:color w:val="auto"/>
        </w:rPr>
      </w:pPr>
      <w:r>
        <w:rPr>
          <w:rFonts w:ascii="Times New Roman" w:cs="Times New Roman" w:eastAsia="Times New Roman" w:hAnsi="Times New Roman"/>
          <w:sz w:val="17"/>
          <w:szCs w:val="17"/>
          <w:color w:val="auto"/>
        </w:rPr>
        <w:t>IN WITNESS WHEREOF, the parties hereto have executed this Indemnification Agreement on and as of the day and year first above written.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ORAMED PHARMACEUTICALS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17145</wp:posOffset>
            </wp:positionV>
            <wp:extent cx="247713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2477135"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288861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2888615"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0" w:lineRule="exact"/>
        <w:rPr>
          <w:sz w:val="20"/>
          <w:szCs w:val="20"/>
          <w:color w:val="auto"/>
        </w:rPr>
      </w:pPr>
    </w:p>
    <w:p>
      <w:pPr>
        <w:spacing w:after="0" w:line="223"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60"/>
          </w:cols>
          <w:pgMar w:left="320" w:top="904" w:right="71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Schedule to Exhibit 10.1</w:t>
      </w:r>
    </w:p>
    <w:p>
      <w:pPr>
        <w:spacing w:after="0" w:line="229" w:lineRule="exact"/>
        <w:rPr>
          <w:sz w:val="20"/>
          <w:szCs w:val="20"/>
          <w:color w:val="auto"/>
        </w:rPr>
      </w:pPr>
    </w:p>
    <w:p>
      <w:pPr>
        <w:jc w:val="both"/>
        <w:ind w:right="600" w:firstLine="648"/>
        <w:spacing w:after="0" w:line="266" w:lineRule="auto"/>
        <w:rPr>
          <w:sz w:val="20"/>
          <w:szCs w:val="20"/>
          <w:color w:val="auto"/>
        </w:rPr>
      </w:pPr>
      <w:r>
        <w:rPr>
          <w:rFonts w:ascii="Times New Roman" w:cs="Times New Roman" w:eastAsia="Times New Roman" w:hAnsi="Times New Roman"/>
          <w:sz w:val="18"/>
          <w:szCs w:val="18"/>
          <w:color w:val="auto"/>
        </w:rPr>
        <w:t>The following executive officers and directors are each party to an Indemnification Agreement or Amended and Restated Indemnification Agreement with the Company, each of which is substantially identical in all material respects to the representative Indemnification Agreement filed herewith and is dated as of the respective date listed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Signatory</w:t>
            </w:r>
          </w:p>
        </w:tc>
        <w:tc>
          <w:tcPr>
            <w:tcW w:w="34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198"/>
        </w:trPr>
        <w:tc>
          <w:tcPr>
            <w:tcW w:w="4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Nadav Kidron</w:t>
            </w:r>
          </w:p>
        </w:tc>
        <w:tc>
          <w:tcPr>
            <w:tcW w:w="3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March 26, 2017</w:t>
            </w:r>
          </w:p>
        </w:tc>
      </w:tr>
      <w:tr>
        <w:trPr>
          <w:trHeight w:val="234"/>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President, Chief Executive Officer and Chairman</w:t>
            </w:r>
          </w:p>
        </w:tc>
        <w:tc>
          <w:tcPr>
            <w:tcW w:w="3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00" w:type="dxa"/>
            <w:vAlign w:val="bottom"/>
          </w:tcPr>
          <w:p>
            <w:pPr>
              <w:spacing w:after="0"/>
              <w:rPr>
                <w:sz w:val="20"/>
                <w:szCs w:val="20"/>
                <w:color w:val="auto"/>
              </w:rPr>
            </w:pPr>
          </w:p>
        </w:tc>
      </w:tr>
      <w:tr>
        <w:trPr>
          <w:trHeight w:val="414"/>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Daniel Aghion</w:t>
            </w:r>
          </w:p>
        </w:tc>
        <w:tc>
          <w:tcPr>
            <w:tcW w:w="3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1, 2024</w:t>
            </w:r>
          </w:p>
        </w:tc>
      </w:tr>
      <w:tr>
        <w:trPr>
          <w:trHeight w:val="234"/>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3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00" w:type="dxa"/>
            <w:vAlign w:val="bottom"/>
          </w:tcPr>
          <w:p>
            <w:pPr>
              <w:spacing w:after="0"/>
              <w:rPr>
                <w:sz w:val="20"/>
                <w:szCs w:val="20"/>
                <w:color w:val="auto"/>
              </w:rPr>
            </w:pPr>
          </w:p>
        </w:tc>
      </w:tr>
      <w:tr>
        <w:trPr>
          <w:trHeight w:val="414"/>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Miriam Kidron</w:t>
            </w:r>
          </w:p>
        </w:tc>
        <w:tc>
          <w:tcPr>
            <w:tcW w:w="3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26, 2017</w:t>
            </w:r>
          </w:p>
        </w:tc>
      </w:tr>
      <w:tr>
        <w:trPr>
          <w:trHeight w:val="234"/>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Chief Scientific Officer and Director</w:t>
            </w:r>
          </w:p>
        </w:tc>
        <w:tc>
          <w:tcPr>
            <w:tcW w:w="3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00" w:type="dxa"/>
            <w:vAlign w:val="bottom"/>
          </w:tcPr>
          <w:p>
            <w:pPr>
              <w:spacing w:after="0"/>
              <w:rPr>
                <w:sz w:val="20"/>
                <w:szCs w:val="20"/>
                <w:color w:val="auto"/>
              </w:rPr>
            </w:pPr>
          </w:p>
        </w:tc>
      </w:tr>
      <w:tr>
        <w:trPr>
          <w:trHeight w:val="414"/>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Dr. Arie Mayer, Ph.D.</w:t>
            </w:r>
          </w:p>
        </w:tc>
        <w:tc>
          <w:tcPr>
            <w:tcW w:w="3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5, 2019</w:t>
            </w:r>
          </w:p>
        </w:tc>
      </w:tr>
      <w:tr>
        <w:trPr>
          <w:trHeight w:val="234"/>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3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00" w:type="dxa"/>
            <w:vAlign w:val="bottom"/>
          </w:tcPr>
          <w:p>
            <w:pPr>
              <w:spacing w:after="0"/>
              <w:rPr>
                <w:sz w:val="20"/>
                <w:szCs w:val="20"/>
                <w:color w:val="auto"/>
              </w:rPr>
            </w:pPr>
          </w:p>
        </w:tc>
      </w:tr>
      <w:tr>
        <w:trPr>
          <w:trHeight w:val="414"/>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Yehuda Reznick</w:t>
            </w:r>
          </w:p>
        </w:tc>
        <w:tc>
          <w:tcPr>
            <w:tcW w:w="3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1, 2024</w:t>
            </w:r>
          </w:p>
        </w:tc>
      </w:tr>
      <w:tr>
        <w:trPr>
          <w:trHeight w:val="234"/>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3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00" w:type="dxa"/>
            <w:vAlign w:val="bottom"/>
          </w:tcPr>
          <w:p>
            <w:pPr>
              <w:spacing w:after="0"/>
              <w:rPr>
                <w:sz w:val="20"/>
                <w:szCs w:val="20"/>
                <w:color w:val="auto"/>
              </w:rPr>
            </w:pPr>
          </w:p>
        </w:tc>
      </w:tr>
      <w:tr>
        <w:trPr>
          <w:trHeight w:val="414"/>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Leonard Sank</w:t>
            </w:r>
          </w:p>
        </w:tc>
        <w:tc>
          <w:tcPr>
            <w:tcW w:w="3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26, 2017</w:t>
            </w:r>
          </w:p>
        </w:tc>
      </w:tr>
      <w:tr>
        <w:trPr>
          <w:trHeight w:val="234"/>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3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00" w:type="dxa"/>
            <w:vAlign w:val="bottom"/>
          </w:tcPr>
          <w:p>
            <w:pPr>
              <w:spacing w:after="0"/>
              <w:rPr>
                <w:sz w:val="20"/>
                <w:szCs w:val="20"/>
                <w:color w:val="auto"/>
              </w:rPr>
            </w:pPr>
          </w:p>
        </w:tc>
      </w:tr>
      <w:tr>
        <w:trPr>
          <w:trHeight w:val="414"/>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Benjamin Shapiro</w:t>
            </w:r>
          </w:p>
        </w:tc>
        <w:tc>
          <w:tcPr>
            <w:tcW w:w="3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30, 2023</w:t>
            </w:r>
          </w:p>
        </w:tc>
      </w:tr>
      <w:tr>
        <w:trPr>
          <w:trHeight w:val="234"/>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3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00" w:type="dxa"/>
            <w:vAlign w:val="bottom"/>
          </w:tcPr>
          <w:p>
            <w:pPr>
              <w:spacing w:after="0"/>
              <w:rPr>
                <w:sz w:val="20"/>
                <w:szCs w:val="20"/>
                <w:color w:val="auto"/>
              </w:rPr>
            </w:pPr>
          </w:p>
        </w:tc>
      </w:tr>
      <w:tr>
        <w:trPr>
          <w:trHeight w:val="414"/>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Joshua Hexter</w:t>
            </w:r>
          </w:p>
        </w:tc>
        <w:tc>
          <w:tcPr>
            <w:tcW w:w="3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8, 2019</w:t>
            </w:r>
          </w:p>
        </w:tc>
      </w:tr>
      <w:tr>
        <w:trPr>
          <w:trHeight w:val="234"/>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Chief Operating &amp; Business Officer</w:t>
            </w:r>
          </w:p>
        </w:tc>
        <w:tc>
          <w:tcPr>
            <w:tcW w:w="3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00" w:type="dxa"/>
            <w:vAlign w:val="bottom"/>
          </w:tcPr>
          <w:p>
            <w:pPr>
              <w:spacing w:after="0"/>
              <w:rPr>
                <w:sz w:val="20"/>
                <w:szCs w:val="20"/>
                <w:color w:val="auto"/>
              </w:rPr>
            </w:pPr>
          </w:p>
        </w:tc>
      </w:tr>
      <w:tr>
        <w:trPr>
          <w:trHeight w:val="414"/>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David Silberman</w:t>
            </w:r>
          </w:p>
        </w:tc>
        <w:tc>
          <w:tcPr>
            <w:tcW w:w="3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4, 2021</w:t>
            </w:r>
          </w:p>
        </w:tc>
      </w:tr>
      <w:tr>
        <w:trPr>
          <w:trHeight w:val="234"/>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3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00" w:type="dxa"/>
            <w:vAlign w:val="bottom"/>
          </w:tcPr>
          <w:p>
            <w:pPr>
              <w:spacing w:after="0"/>
              <w:rPr>
                <w:sz w:val="20"/>
                <w:szCs w:val="20"/>
                <w:color w:val="auto"/>
              </w:rPr>
            </w:pPr>
          </w:p>
        </w:tc>
      </w:tr>
      <w:tr>
        <w:trPr>
          <w:trHeight w:val="655"/>
        </w:trPr>
        <w:tc>
          <w:tcPr>
            <w:tcW w:w="454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jc w:val="right"/>
              <w:ind w:right="221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AND 15d-14(a)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 AS AMENDED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Nadav Kidron, certify that:</w:t>
      </w:r>
    </w:p>
    <w:p>
      <w:pPr>
        <w:spacing w:after="0" w:line="225" w:lineRule="exact"/>
        <w:rPr>
          <w:sz w:val="20"/>
          <w:szCs w:val="20"/>
          <w:color w:val="auto"/>
        </w:rPr>
      </w:pPr>
    </w:p>
    <w:p>
      <w:pPr>
        <w:ind w:left="660" w:hanging="652"/>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Oramed Pharmaceuticals Inc.;</w:t>
      </w:r>
    </w:p>
    <w:p>
      <w:pPr>
        <w:spacing w:after="0" w:line="225"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3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300"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00" w:hanging="644"/>
        <w:spacing w:after="0" w:line="266" w:lineRule="auto"/>
        <w:tabs>
          <w:tab w:leader="none" w:pos="13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 ’s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3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3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May 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Nadav Kidron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Nadav Kidron</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117"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AND 15d-14(a)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 AS AMENDED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Silberman, certify that:</w:t>
      </w:r>
    </w:p>
    <w:p>
      <w:pPr>
        <w:spacing w:after="0" w:line="225" w:lineRule="exact"/>
        <w:rPr>
          <w:sz w:val="20"/>
          <w:szCs w:val="20"/>
          <w:color w:val="auto"/>
        </w:rPr>
      </w:pPr>
    </w:p>
    <w:p>
      <w:pPr>
        <w:ind w:left="660" w:hanging="652"/>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Oramed Pharmaceuticals Inc.;</w:t>
      </w:r>
    </w:p>
    <w:p>
      <w:pPr>
        <w:spacing w:after="0" w:line="225"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3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300"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00" w:hanging="644"/>
        <w:spacing w:after="0" w:line="266" w:lineRule="auto"/>
        <w:tabs>
          <w:tab w:leader="none" w:pos="13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 ’s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3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3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May 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Silberman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David Silberman</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7"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22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Oramed Pharmaceuticals Inc., or the Company, on Form 10-Q for the period ended March 31, 2024, as filed with the Securities and Exchange Commission on the date hereof, or the Report, I, Nadav Kidron, President and Chief Executive Officer of the Company, certify, pursuant to 18 U.S.C. Section 1350, that to my knowledge:</w:t>
      </w:r>
    </w:p>
    <w:p>
      <w:pPr>
        <w:spacing w:after="0" w:line="176" w:lineRule="exact"/>
        <w:rPr>
          <w:sz w:val="20"/>
          <w:szCs w:val="20"/>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May 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Nadav Kidron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Nadav Kidron</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117"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229"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Oramed Pharmaceuticals Inc., or the Company, on Form 10-Q for the period ended March 31, 2024, as filed with the Securities and Exchange Commission on the date hereof, or the Report, I, David Silberman, Chief Financial Officer of the Company, certify, pursuant to 18 U.S.C. Section 1350, that to my knowledge:</w:t>
      </w:r>
    </w:p>
    <w:p>
      <w:pPr>
        <w:spacing w:after="0" w:line="176" w:lineRule="exact"/>
        <w:rPr>
          <w:sz w:val="20"/>
          <w:szCs w:val="20"/>
          <w:color w:val="auto"/>
        </w:rPr>
      </w:pPr>
    </w:p>
    <w:p>
      <w:pPr>
        <w:ind w:left="660" w:hanging="652"/>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May 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Silberman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David Silberman</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lvl w:ilvl="1">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1."/>
      <w:numFmt w:val="lowerLetter"/>
      <w:start w:val="1"/>
    </w:lvl>
  </w:abstractNum>
  <w:abstractNum w:abstractNumId="4">
    <w:nsid w:val="257130A3"/>
    <w:multiLevelType w:val="hybridMultilevel"/>
    <w:lvl w:ilvl="0">
      <w:lvlJc w:val="left"/>
      <w:lvlText w:val="%1."/>
      <w:numFmt w:val="lowerLetter"/>
      <w:start w:val="2"/>
    </w:lvl>
  </w:abstractNum>
  <w:abstractNum w:abstractNumId="5">
    <w:nsid w:val="62BBD95A"/>
    <w:multiLevelType w:val="hybridMultilevel"/>
    <w:lvl w:ilvl="0">
      <w:lvlJc w:val="left"/>
      <w:lvlText w:val="%1."/>
      <w:numFmt w:val="lowerLetter"/>
      <w:start w:val="1"/>
    </w:lvl>
  </w:abstractNum>
  <w:abstractNum w:abstractNumId="6">
    <w:nsid w:val="436C6125"/>
    <w:multiLevelType w:val="hybridMultilevel"/>
    <w:lvl w:ilvl="0">
      <w:lvlJc w:val="left"/>
      <w:lvlText w:val="%1."/>
      <w:numFmt w:val="lowerLetter"/>
      <w:start w:val="3"/>
    </w:lvl>
  </w:abstractNum>
  <w:abstractNum w:abstractNumId="7">
    <w:nsid w:val="628C895D"/>
    <w:multiLevelType w:val="hybridMultilevel"/>
    <w:lvl w:ilvl="0">
      <w:lvlJc w:val="left"/>
      <w:lvlText w:val="%1."/>
      <w:numFmt w:val="lowerLetter"/>
      <w:start w:val="1"/>
    </w:lvl>
  </w:abstractNum>
  <w:abstractNum w:abstractNumId="8">
    <w:nsid w:val="333AB105"/>
    <w:multiLevelType w:val="hybridMultilevel"/>
    <w:lvl w:ilvl="0">
      <w:lvlJc w:val="left"/>
      <w:lvlText w:val="%1."/>
      <w:numFmt w:val="lowerLetter"/>
      <w:start w:val="2"/>
    </w:lvl>
  </w:abstractNum>
  <w:abstractNum w:abstractNumId="9">
    <w:nsid w:val="721DA317"/>
    <w:multiLevelType w:val="hybridMultilevel"/>
    <w:lvl w:ilvl="0">
      <w:lvlJc w:val="left"/>
      <w:lvlText w:val="(%1)"/>
      <w:numFmt w:val="lowerRoman"/>
      <w:start w:val="1"/>
    </w:lvl>
  </w:abstractNum>
  <w:abstractNum w:abstractNumId="10">
    <w:nsid w:val="2443A858"/>
    <w:multiLevelType w:val="hybridMultilevel"/>
    <w:lvl w:ilvl="0">
      <w:lvlJc w:val="left"/>
      <w:lvlText w:val="%1."/>
      <w:numFmt w:val="decimal"/>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1)"/>
      <w:numFmt w:val="lowerRoman"/>
      <w:start w:val="3"/>
    </w:lvl>
  </w:abstractNum>
  <w:abstractNum w:abstractNumId="13">
    <w:nsid w:val="75A2A8D4"/>
    <w:multiLevelType w:val="hybridMultilevel"/>
    <w:lvl w:ilvl="0">
      <w:lvlJc w:val="left"/>
      <w:lvlText w:val="**"/>
      <w:numFmt w:val="bullet"/>
      <w:start w:val="1"/>
    </w:lvl>
    <w:lvl w:ilvl="1">
      <w:lvlJc w:val="left"/>
      <w:lvlText w:val="*"/>
      <w:numFmt w:val="bullet"/>
      <w:start w:val="1"/>
    </w:lvl>
  </w:abstractNum>
  <w:abstractNum w:abstractNumId="14">
    <w:nsid w:val="8EDBDAB"/>
    <w:multiLevelType w:val="hybridMultilevel"/>
    <w:lvl w:ilvl="0">
      <w:lvlJc w:val="left"/>
      <w:lvlText w:val="%1."/>
      <w:numFmt w:val="decimal"/>
      <w:start w:val="1"/>
    </w:lvl>
    <w:lvl w:ilvl="1">
      <w:lvlJc w:val="left"/>
      <w:lvlText w:val="(%2)"/>
      <w:numFmt w:val="lowerLetter"/>
      <w:start w:val="1"/>
    </w:lvl>
  </w:abstractNum>
  <w:abstractNum w:abstractNumId="15">
    <w:nsid w:val="79838CB2"/>
    <w:multiLevelType w:val="hybridMultilevel"/>
    <w:lvl w:ilvl="0">
      <w:lvlJc w:val="left"/>
      <w:lvlText w:val="%1"/>
      <w:numFmt w:val="decimal"/>
      <w:start w:val="1"/>
    </w:lvl>
    <w:lvl w:ilvl="1">
      <w:lvlJc w:val="left"/>
      <w:lvlText w:val="(%2)"/>
      <w:numFmt w:val="lowerLetter"/>
      <w:start w:val="3"/>
    </w:lvl>
  </w:abstractNum>
  <w:abstractNum w:abstractNumId="16">
    <w:nsid w:val="4353D0CD"/>
    <w:multiLevelType w:val="hybridMultilevel"/>
    <w:lvl w:ilvl="0">
      <w:lvlJc w:val="left"/>
      <w:lvlText w:val="%1."/>
      <w:numFmt w:val="decimal"/>
      <w:start w:val="2"/>
    </w:lvl>
    <w:lvl w:ilvl="1">
      <w:lvlJc w:val="left"/>
      <w:lvlText w:val="(%2)"/>
      <w:numFmt w:val="lowerLetter"/>
      <w:start w:val="1"/>
    </w:lvl>
  </w:abstractNum>
  <w:abstractNum w:abstractNumId="17">
    <w:nsid w:val="B03E0C6"/>
    <w:multiLevelType w:val="hybridMultilevel"/>
    <w:lvl w:ilvl="0">
      <w:lvlJc w:val="left"/>
      <w:lvlText w:val="%1"/>
      <w:numFmt w:val="decimal"/>
      <w:start w:val="1"/>
    </w:lvl>
    <w:lvl w:ilvl="1">
      <w:lvlJc w:val="left"/>
      <w:lvlText w:val="(%2)"/>
      <w:numFmt w:val="lowerLetter"/>
      <w:start w:val="4"/>
    </w:lvl>
  </w:abstractNum>
  <w:abstractNum w:abstractNumId="18">
    <w:nsid w:val="189A769B"/>
    <w:multiLevelType w:val="hybridMultilevel"/>
    <w:lvl w:ilvl="0">
      <w:lvlJc w:val="left"/>
      <w:lvlText w:val="%1."/>
      <w:numFmt w:val="decimal"/>
      <w:start w:val="3"/>
    </w:lvl>
    <w:lvl w:ilvl="1">
      <w:lvlJc w:val="left"/>
      <w:lvlText w:val="(%2)"/>
      <w:numFmt w:val="lowerLetter"/>
      <w:start w:val="1"/>
    </w:lvl>
  </w:abstractNum>
  <w:abstractNum w:abstractNumId="19">
    <w:nsid w:val="54E49EB4"/>
    <w:multiLevelType w:val="hybridMultilevel"/>
    <w:lvl w:ilvl="0">
      <w:lvlJc w:val="left"/>
      <w:lvlText w:val="(%1)"/>
      <w:numFmt w:val="lowerLetter"/>
      <w:start w:val="1"/>
    </w:lvl>
  </w:abstractNum>
  <w:abstractNum w:abstractNumId="20">
    <w:nsid w:val="71F32454"/>
    <w:multiLevelType w:val="hybridMultilevel"/>
    <w:lvl w:ilvl="0">
      <w:lvlJc w:val="left"/>
      <w:lvlText w:val="(%1)"/>
      <w:numFmt w:val="lowerLetter"/>
      <w:start w:val="2"/>
    </w:lvl>
  </w:abstractNum>
  <w:abstractNum w:abstractNumId="21">
    <w:nsid w:val="2CA88611"/>
    <w:multiLevelType w:val="hybridMultilevel"/>
    <w:lvl w:ilvl="0">
      <w:lvlJc w:val="left"/>
      <w:lvlText w:val="(%1)"/>
      <w:numFmt w:val="lowerLetter"/>
      <w:start w:val="3"/>
    </w:lvl>
  </w:abstractNum>
  <w:abstractNum w:abstractNumId="22">
    <w:nsid w:val="836C40E"/>
    <w:multiLevelType w:val="hybridMultilevel"/>
    <w:lvl w:ilvl="0">
      <w:lvlJc w:val="left"/>
      <w:lvlText w:val="%1"/>
      <w:numFmt w:val="decimal"/>
      <w:start w:val="1"/>
    </w:lvl>
    <w:lvl w:ilvl="1">
      <w:lvlJc w:val="left"/>
      <w:lvlText w:val="(%2)"/>
      <w:numFmt w:val="lowerLetter"/>
      <w:start w:val="5"/>
    </w:lvl>
  </w:abstractNum>
  <w:abstractNum w:abstractNumId="23">
    <w:nsid w:val="2901D82"/>
    <w:multiLevelType w:val="hybridMultilevel"/>
    <w:lvl w:ilvl="0">
      <w:lvlJc w:val="left"/>
      <w:lvlText w:val="(%1)"/>
      <w:numFmt w:val="decimal"/>
      <w:start w:val="15"/>
    </w:lvl>
    <w:lvl w:ilvl="1">
      <w:lvlJc w:val="left"/>
      <w:lvlText w:val="(%2)"/>
      <w:numFmt w:val="lowerLetter"/>
      <w:start w:val="7"/>
    </w:lvl>
  </w:abstractNum>
  <w:abstractNum w:abstractNumId="24">
    <w:nsid w:val="3A95F874"/>
    <w:multiLevelType w:val="hybridMultilevel"/>
    <w:lvl w:ilvl="0">
      <w:lvlJc w:val="left"/>
      <w:lvlText w:val="%1"/>
      <w:numFmt w:val="decimal"/>
      <w:start w:val="1"/>
    </w:lvl>
    <w:lvl w:ilvl="1">
      <w:lvlJc w:val="left"/>
      <w:lvlText w:val="%2."/>
      <w:numFmt w:val="decimal"/>
      <w:start w:val="6"/>
    </w:lvl>
    <w:lvl w:ilvl="2">
      <w:lvlJc w:val="left"/>
      <w:lvlText w:val="(%3)"/>
      <w:numFmt w:val="lowerLetter"/>
      <w:start w:val="1"/>
    </w:lvl>
  </w:abstractNum>
  <w:abstractNum w:abstractNumId="25">
    <w:nsid w:val="8138641"/>
    <w:multiLevelType w:val="hybridMultilevel"/>
    <w:lvl w:ilvl="0">
      <w:lvlJc w:val="left"/>
      <w:lvlText w:val="(%1)"/>
      <w:numFmt w:val="decimal"/>
      <w:start w:val="10"/>
    </w:lvl>
    <w:lvl w:ilvl="1">
      <w:lvlJc w:val="left"/>
      <w:lvlText w:val="%2"/>
      <w:numFmt w:val="decimal"/>
      <w:start w:val="1"/>
    </w:lvl>
    <w:lvl w:ilvl="2">
      <w:lvlJc w:val="left"/>
      <w:lvlText w:val="(%3)"/>
      <w:numFmt w:val="lowerLetter"/>
      <w:start w:val="6"/>
    </w:lvl>
  </w:abstractNum>
  <w:abstractNum w:abstractNumId="26">
    <w:nsid w:val="1E7FF521"/>
    <w:multiLevelType w:val="hybridMultilevel"/>
    <w:lvl w:ilvl="0">
      <w:lvlJc w:val="left"/>
      <w:lvlText w:val="%1."/>
      <w:numFmt w:val="decimal"/>
      <w:start w:val="7"/>
    </w:lvl>
    <w:lvl w:ilvl="1">
      <w:lvlJc w:val="left"/>
      <w:lvlText w:val="(%2)"/>
      <w:numFmt w:val="lowerLetter"/>
      <w:start w:val="1"/>
    </w:lvl>
  </w:abstractNum>
  <w:abstractNum w:abstractNumId="27">
    <w:nsid w:val="7C3DBD3D"/>
    <w:multiLevelType w:val="hybridMultilevel"/>
    <w:lvl w:ilvl="0">
      <w:lvlJc w:val="left"/>
      <w:lvlText w:val="%1."/>
      <w:numFmt w:val="decimal"/>
      <w:start w:val="8"/>
    </w:lvl>
    <w:lvl w:ilvl="1">
      <w:lvlJc w:val="left"/>
      <w:lvlText w:val="(%2)"/>
      <w:numFmt w:val="lowerLetter"/>
      <w:start w:val="1"/>
    </w:lvl>
  </w:abstractNum>
  <w:abstractNum w:abstractNumId="28">
    <w:nsid w:val="737B8DDC"/>
    <w:multiLevelType w:val="hybridMultilevel"/>
    <w:lvl w:ilvl="0">
      <w:lvlJc w:val="left"/>
      <w:lvlText w:val="%1."/>
      <w:numFmt w:val="decimal"/>
      <w:start w:val="12"/>
    </w:lvl>
    <w:lvl w:ilvl="1">
      <w:lvlJc w:val="left"/>
      <w:lvlText w:val="(%2)"/>
      <w:numFmt w:val="lowerLetter"/>
      <w:start w:val="1"/>
    </w:lvl>
  </w:abstractNum>
  <w:abstractNum w:abstractNumId="29">
    <w:nsid w:val="6CEAF087"/>
    <w:multiLevelType w:val="hybridMultilevel"/>
    <w:lvl w:ilvl="0">
      <w:lvlJc w:val="left"/>
      <w:lvlText w:val="%1."/>
      <w:numFmt w:val="decimal"/>
      <w:start w:val="15"/>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45" Type="http://schemas.openxmlformats.org/officeDocument/2006/relationships/hyperlink" Target="http://www.sec.gov/Archives/edgar/data/1176309/000121390024023571/ea020174301ex1-1_orame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2024-05-09T16:48:56Z</dcterms:created>
  <dcterms:modified xsi:type="dcterms:W3CDTF">2024-05-09T16:48:56Z</dcterms:modified>
</cp:coreProperties>
</file>