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284244-8k_oramed.htm"/>
      <w:bookmarkStart w:id="1" w:name="ksea02842448k_oramed"/>
      <w:bookmarkEnd w:id="0"/>
      <w:bookmarkEnd w:id="1"/>
      <w:r>
        <w:rPr>
          <w:bdr w:val="single" w:sz="16" w:space="1" w:color="000000"/>
        </w:rPr>
        <w:t> </w:t>
      </w:r>
    </w:p>
    <w:p>
      <w:pPr>
        <w:pStyle w:val="TextBody"/>
        <w:bidi w:val="0"/>
        <w:jc w:val="center"/>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0_edei--DocumentType_c20260325__20"/>
      <w:bookmarkEnd w:id="2"/>
      <w:r>
        <w:rPr>
          <w:rFonts w:ascii="Times New Roman;Times;Serif" w:hAnsi="Times New Roman;Times;Serif"/>
          <w:b/>
          <w:i w:val="false"/>
          <w:caps w:val="false"/>
          <w:smallCaps w:val="false"/>
          <w:sz w:val="20"/>
        </w:rPr>
        <w:t>8-K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Pursuant to Section 13 or 15(d) of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E_edei--DocumentPeriodEndDate_c202"/>
      <w:bookmarkEnd w:id="3"/>
      <w:r>
        <w:rPr>
          <w:rFonts w:ascii="Times New Roman;Times;Serif" w:hAnsi="Times New Roman;Times;Serif"/>
          <w:b/>
          <w:i w:val="false"/>
          <w:caps w:val="false"/>
          <w:smallCaps w:val="false"/>
          <w:sz w:val="20"/>
        </w:rPr>
        <w:t>March 25,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4" w:name="xdx_909_edei--EntityRegistrantName_c2026"/>
      <w:bookmarkEnd w:id="4"/>
      <w:r>
        <w:rPr>
          <w:rFonts w:ascii="Times New Roman;Times;Serif" w:hAnsi="Times New Roman;Times;Serif"/>
          <w:b/>
          <w:i w:val="false"/>
          <w:caps w:val="false"/>
          <w:smallCaps w:val="false"/>
          <w:sz w:val="20"/>
        </w:rPr>
        <w:t>ORAMED PHARMACEUTICALS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tbl>
      <w:tblPr>
        <w:tblW w:w="6285" w:type="dxa"/>
        <w:jc w:val="left"/>
        <w:tblInd w:w="0" w:type="dxa"/>
        <w:tblLayout w:type="fixed"/>
        <w:tblCellMar>
          <w:top w:w="0" w:type="dxa"/>
          <w:left w:w="0" w:type="dxa"/>
          <w:bottom w:w="28" w:type="dxa"/>
          <w:right w:w="0" w:type="dxa"/>
        </w:tblCellMar>
      </w:tblPr>
      <w:tblGrid>
        <w:gridCol w:w="2420"/>
        <w:gridCol w:w="60"/>
        <w:gridCol w:w="2210"/>
        <w:gridCol w:w="60"/>
        <w:gridCol w:w="1535"/>
      </w:tblGrid>
      <w:tr>
        <w:trPr/>
        <w:tc>
          <w:tcPr>
            <w:tcW w:w="2420" w:type="dxa"/>
            <w:tcBorders>
              <w:bottom w:val="single" w:sz="12" w:space="0" w:color="000000"/>
            </w:tcBorders>
            <w:vAlign w:val="center"/>
          </w:tcPr>
          <w:p>
            <w:pPr>
              <w:pStyle w:val="TableContents"/>
              <w:bidi w:val="0"/>
              <w:spacing w:before="0" w:after="283"/>
              <w:jc w:val="center"/>
              <w:rPr>
                <w:b/>
                <w:caps/>
                <w:sz w:val="20"/>
              </w:rPr>
            </w:pPr>
            <w:bookmarkStart w:id="5" w:name="xdx_90A_edei--EntityIncorporationStateCo"/>
            <w:bookmarkEnd w:id="5"/>
            <w:r>
              <w:rPr>
                <w:b/>
                <w:caps/>
                <w:sz w:val="20"/>
              </w:rPr>
              <w:t>delaware</w:t>
            </w:r>
          </w:p>
        </w:tc>
        <w:tc>
          <w:tcPr>
            <w:tcW w:w="60" w:type="dxa"/>
            <w:tcBorders/>
            <w:tcMar>
              <w:bottom w:w="0" w:type="dxa"/>
            </w:tcMar>
            <w:vAlign w:val="center"/>
          </w:tcPr>
          <w:p>
            <w:pPr>
              <w:pStyle w:val="TableContents"/>
              <w:bidi w:val="0"/>
              <w:spacing w:before="0" w:after="283"/>
              <w:jc w:val="center"/>
              <w:rPr/>
            </w:pPr>
            <w:r>
              <w:rPr/>
              <w:t> </w:t>
            </w:r>
          </w:p>
        </w:tc>
        <w:tc>
          <w:tcPr>
            <w:tcW w:w="2210" w:type="dxa"/>
            <w:tcBorders>
              <w:bottom w:val="single" w:sz="12" w:space="0" w:color="000000"/>
            </w:tcBorders>
            <w:vAlign w:val="center"/>
          </w:tcPr>
          <w:p>
            <w:pPr>
              <w:pStyle w:val="TableContents"/>
              <w:bidi w:val="0"/>
              <w:spacing w:before="0" w:after="283"/>
              <w:jc w:val="center"/>
              <w:rPr>
                <w:b/>
                <w:sz w:val="20"/>
              </w:rPr>
            </w:pPr>
            <w:bookmarkStart w:id="6" w:name="xdx_907_edei--EntityFileNumber_c20260325"/>
            <w:bookmarkEnd w:id="6"/>
            <w:r>
              <w:rPr>
                <w:b/>
                <w:sz w:val="20"/>
              </w:rPr>
              <w:t>001-35813</w:t>
            </w:r>
          </w:p>
        </w:tc>
        <w:tc>
          <w:tcPr>
            <w:tcW w:w="60" w:type="dxa"/>
            <w:tcBorders/>
            <w:tcMar>
              <w:bottom w:w="0" w:type="dxa"/>
            </w:tcMar>
            <w:vAlign w:val="center"/>
          </w:tcPr>
          <w:p>
            <w:pPr>
              <w:pStyle w:val="TableContents"/>
              <w:bidi w:val="0"/>
              <w:spacing w:before="0" w:after="283"/>
              <w:jc w:val="center"/>
              <w:rPr/>
            </w:pPr>
            <w:r>
              <w:rPr/>
              <w:t> </w:t>
            </w:r>
          </w:p>
        </w:tc>
        <w:tc>
          <w:tcPr>
            <w:tcW w:w="1535" w:type="dxa"/>
            <w:tcBorders>
              <w:bottom w:val="single" w:sz="12" w:space="0" w:color="000000"/>
            </w:tcBorders>
            <w:vAlign w:val="center"/>
          </w:tcPr>
          <w:p>
            <w:pPr>
              <w:pStyle w:val="TableContents"/>
              <w:bidi w:val="0"/>
              <w:spacing w:before="0" w:after="283"/>
              <w:jc w:val="center"/>
              <w:rPr>
                <w:b/>
                <w:sz w:val="20"/>
              </w:rPr>
            </w:pPr>
            <w:bookmarkStart w:id="7" w:name="xdx_90B_edei--EntityTaxIdentificationNum"/>
            <w:bookmarkEnd w:id="7"/>
            <w:r>
              <w:rPr>
                <w:b/>
                <w:sz w:val="20"/>
              </w:rPr>
              <w:t>98-0376008</w:t>
            </w:r>
          </w:p>
        </w:tc>
      </w:tr>
      <w:tr>
        <w:trPr/>
        <w:tc>
          <w:tcPr>
            <w:tcW w:w="2420" w:type="dxa"/>
            <w:tcBorders/>
            <w:tcMar>
              <w:bottom w:w="0" w:type="dxa"/>
            </w:tcMar>
            <w:vAlign w:val="center"/>
          </w:tcPr>
          <w:p>
            <w:pPr>
              <w:pStyle w:val="TableContents"/>
              <w:bidi w:val="0"/>
              <w:spacing w:before="0" w:after="283"/>
              <w:jc w:val="center"/>
              <w:rPr>
                <w:sz w:val="20"/>
              </w:rPr>
            </w:pPr>
            <w:r>
              <w:rPr>
                <w:sz w:val="20"/>
              </w:rPr>
              <w:t>(State or Other Jurisdiction of</w:t>
              <w:br/>
              <w:t>Incorporation)</w:t>
            </w:r>
          </w:p>
        </w:tc>
        <w:tc>
          <w:tcPr>
            <w:tcW w:w="60" w:type="dxa"/>
            <w:tcBorders/>
            <w:tcMar>
              <w:bottom w:w="0" w:type="dxa"/>
            </w:tcMar>
            <w:vAlign w:val="center"/>
          </w:tcPr>
          <w:p>
            <w:pPr>
              <w:pStyle w:val="TableContents"/>
              <w:bidi w:val="0"/>
              <w:spacing w:before="0" w:after="283"/>
              <w:jc w:val="center"/>
              <w:rPr/>
            </w:pPr>
            <w:r>
              <w:rPr/>
              <w:t> </w:t>
            </w:r>
          </w:p>
        </w:tc>
        <w:tc>
          <w:tcPr>
            <w:tcW w:w="2210" w:type="dxa"/>
            <w:tcBorders/>
            <w:tcMar>
              <w:bottom w:w="0" w:type="dxa"/>
            </w:tcMar>
            <w:vAlign w:val="center"/>
          </w:tcPr>
          <w:p>
            <w:pPr>
              <w:pStyle w:val="TableContents"/>
              <w:bidi w:val="0"/>
              <w:spacing w:before="0" w:after="283"/>
              <w:jc w:val="center"/>
              <w:rPr>
                <w:sz w:val="20"/>
              </w:rPr>
            </w:pPr>
            <w:r>
              <w:rPr>
                <w:sz w:val="20"/>
              </w:rPr>
              <w:t>(Commission File Number)</w:t>
            </w:r>
          </w:p>
        </w:tc>
        <w:tc>
          <w:tcPr>
            <w:tcW w:w="60" w:type="dxa"/>
            <w:tcBorders/>
            <w:tcMar>
              <w:bottom w:w="0" w:type="dxa"/>
            </w:tcMar>
            <w:vAlign w:val="center"/>
          </w:tcPr>
          <w:p>
            <w:pPr>
              <w:pStyle w:val="TableContents"/>
              <w:bidi w:val="0"/>
              <w:spacing w:before="0" w:after="283"/>
              <w:jc w:val="center"/>
              <w:rPr/>
            </w:pPr>
            <w:r>
              <w:rPr/>
              <w:t> </w:t>
            </w:r>
          </w:p>
        </w:tc>
        <w:tc>
          <w:tcPr>
            <w:tcW w:w="1535" w:type="dxa"/>
            <w:tcBorders/>
            <w:tcMar>
              <w:bottom w:w="0" w:type="dxa"/>
            </w:tcMar>
            <w:vAlign w:val="center"/>
          </w:tcPr>
          <w:p>
            <w:pPr>
              <w:pStyle w:val="TableContents"/>
              <w:bidi w:val="0"/>
              <w:spacing w:before="0" w:after="283"/>
              <w:jc w:val="center"/>
              <w:rPr>
                <w:sz w:val="20"/>
              </w:rPr>
            </w:pPr>
            <w:r>
              <w:rPr>
                <w:sz w:val="20"/>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630" w:type="dxa"/>
        <w:jc w:val="left"/>
        <w:tblInd w:w="0" w:type="dxa"/>
        <w:tblLayout w:type="fixed"/>
        <w:tblCellMar>
          <w:top w:w="0" w:type="dxa"/>
          <w:left w:w="0" w:type="dxa"/>
          <w:bottom w:w="28" w:type="dxa"/>
          <w:right w:w="0" w:type="dxa"/>
        </w:tblCellMar>
      </w:tblPr>
      <w:tblGrid>
        <w:gridCol w:w="3650"/>
        <w:gridCol w:w="60"/>
        <w:gridCol w:w="920"/>
      </w:tblGrid>
      <w:tr>
        <w:trPr/>
        <w:tc>
          <w:tcPr>
            <w:tcW w:w="3650" w:type="dxa"/>
            <w:tcBorders>
              <w:bottom w:val="single" w:sz="12" w:space="0" w:color="000000"/>
            </w:tcBorders>
            <w:vAlign w:val="center"/>
          </w:tcPr>
          <w:p>
            <w:pPr>
              <w:pStyle w:val="TableContents"/>
              <w:bidi w:val="0"/>
              <w:spacing w:before="0" w:after="283"/>
              <w:jc w:val="center"/>
              <w:rPr>
                <w:b/>
                <w:sz w:val="20"/>
              </w:rPr>
            </w:pPr>
            <w:bookmarkStart w:id="8" w:name="xdx_90E_edei--EntityAddressAddressLine1_"/>
            <w:bookmarkEnd w:id="8"/>
            <w:r>
              <w:rPr>
                <w:b/>
                <w:sz w:val="20"/>
              </w:rPr>
              <w:t xml:space="preserve">1185 Avenue of the Americas, </w:t>
            </w:r>
            <w:bookmarkStart w:id="9" w:name="xdx_906_edei--EntityAddressAddressLine2_"/>
            <w:bookmarkEnd w:id="9"/>
            <w:r>
              <w:rPr>
                <w:b/>
                <w:sz w:val="20"/>
              </w:rPr>
              <w:t>Third Floor,</w:t>
              <w:br/>
            </w:r>
            <w:bookmarkStart w:id="10" w:name="xdx_90B_edei--EntityAddressCityOrTown_c2"/>
            <w:bookmarkEnd w:id="10"/>
            <w:r>
              <w:rPr>
                <w:b/>
                <w:sz w:val="20"/>
              </w:rPr>
              <w:t xml:space="preserve">New York, </w:t>
            </w:r>
            <w:bookmarkStart w:id="11" w:name="xdx_90B_edei--EntityAddressStateOrProvin"/>
            <w:bookmarkEnd w:id="11"/>
            <w:r>
              <w:rPr>
                <w:b/>
                <w:sz w:val="20"/>
              </w:rPr>
              <w:t>New York</w:t>
            </w:r>
          </w:p>
        </w:tc>
        <w:tc>
          <w:tcPr>
            <w:tcW w:w="60" w:type="dxa"/>
            <w:tcBorders/>
            <w:tcMar>
              <w:bottom w:w="0" w:type="dxa"/>
            </w:tcMar>
            <w:vAlign w:val="center"/>
          </w:tcPr>
          <w:p>
            <w:pPr>
              <w:pStyle w:val="TableContents"/>
              <w:bidi w:val="0"/>
              <w:spacing w:before="0" w:after="283"/>
              <w:jc w:val="center"/>
              <w:rPr/>
            </w:pPr>
            <w:r>
              <w:rPr/>
              <w:t> </w:t>
            </w:r>
          </w:p>
        </w:tc>
        <w:tc>
          <w:tcPr>
            <w:tcW w:w="920" w:type="dxa"/>
            <w:tcBorders>
              <w:bottom w:val="single" w:sz="12" w:space="0" w:color="000000"/>
            </w:tcBorders>
            <w:vAlign w:val="center"/>
          </w:tcPr>
          <w:p>
            <w:pPr>
              <w:pStyle w:val="TableContents"/>
              <w:bidi w:val="0"/>
              <w:spacing w:before="0" w:after="283"/>
              <w:jc w:val="center"/>
              <w:rPr>
                <w:b/>
                <w:sz w:val="20"/>
              </w:rPr>
            </w:pPr>
            <w:bookmarkStart w:id="12" w:name="xdx_908_edei--EntityAddressPostalZipCode"/>
            <w:bookmarkEnd w:id="12"/>
            <w:r>
              <w:rPr>
                <w:b/>
                <w:sz w:val="20"/>
              </w:rPr>
              <w:t>10036</w:t>
            </w:r>
          </w:p>
        </w:tc>
      </w:tr>
      <w:tr>
        <w:trPr/>
        <w:tc>
          <w:tcPr>
            <w:tcW w:w="3650" w:type="dxa"/>
            <w:tcBorders/>
            <w:tcMar>
              <w:bottom w:w="0" w:type="dxa"/>
            </w:tcMar>
            <w:vAlign w:val="center"/>
          </w:tcPr>
          <w:p>
            <w:pPr>
              <w:pStyle w:val="TableContents"/>
              <w:bidi w:val="0"/>
              <w:spacing w:before="0" w:after="283"/>
              <w:jc w:val="center"/>
              <w:rPr>
                <w:sz w:val="20"/>
              </w:rPr>
            </w:pPr>
            <w:r>
              <w:rPr>
                <w:sz w:val="20"/>
              </w:rPr>
              <w:t>(Address of Principal Executive Offices)</w:t>
            </w:r>
          </w:p>
        </w:tc>
        <w:tc>
          <w:tcPr>
            <w:tcW w:w="60" w:type="dxa"/>
            <w:tcBorders/>
            <w:tcMar>
              <w:bottom w:w="0" w:type="dxa"/>
            </w:tcMar>
            <w:vAlign w:val="center"/>
          </w:tcPr>
          <w:p>
            <w:pPr>
              <w:pStyle w:val="TableContents"/>
              <w:bidi w:val="0"/>
              <w:spacing w:before="0" w:after="283"/>
              <w:jc w:val="center"/>
              <w:rPr/>
            </w:pPr>
            <w:r>
              <w:rPr/>
              <w:t> </w:t>
            </w:r>
          </w:p>
        </w:tc>
        <w:tc>
          <w:tcPr>
            <w:tcW w:w="920" w:type="dxa"/>
            <w:tcBorders/>
            <w:tcMar>
              <w:bottom w:w="0" w:type="dxa"/>
            </w:tcMar>
            <w:vAlign w:val="center"/>
          </w:tcPr>
          <w:p>
            <w:pPr>
              <w:pStyle w:val="TableContents"/>
              <w:bidi w:val="0"/>
              <w:spacing w:before="0" w:after="283"/>
              <w:jc w:val="center"/>
              <w:rPr>
                <w:sz w:val="20"/>
              </w:rPr>
            </w:pPr>
            <w:r>
              <w:rPr>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xdx_90B_edei--CityAreaCode_c20260325__20"/>
      <w:bookmarkEnd w:id="13"/>
      <w:r>
        <w:rPr>
          <w:rFonts w:ascii="Times New Roman;Times;Serif" w:hAnsi="Times New Roman;Times;Serif"/>
          <w:b/>
          <w:i w:val="false"/>
          <w:caps w:val="false"/>
          <w:smallCaps w:val="false"/>
          <w:sz w:val="20"/>
        </w:rPr>
        <w:t>844-</w:t>
      </w:r>
      <w:bookmarkStart w:id="14" w:name="xdx_90E_edei--LocalPhoneNumber_c20260325"/>
      <w:bookmarkEnd w:id="14"/>
      <w:r>
        <w:rPr>
          <w:rFonts w:ascii="Times New Roman;Times;Serif" w:hAnsi="Times New Roman;Times;Serif"/>
          <w:b/>
          <w:i w:val="false"/>
          <w:caps w:val="false"/>
          <w:smallCaps w:val="false"/>
          <w:sz w:val="20"/>
        </w:rPr>
        <w:t>967-2633</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bookmarkStart w:id="15" w:name="xdx_905_edei--WrittenCommunications_c202"/>
            <w:bookmarkEnd w:id="15"/>
            <w:r>
              <w:rPr/>
              <w:t>☐</w:t>
            </w:r>
          </w:p>
        </w:tc>
        <w:tc>
          <w:tcPr>
            <w:tcW w:w="7295" w:type="dxa"/>
            <w:tcBorders/>
            <w:vAlign w:val="center"/>
          </w:tcPr>
          <w:p>
            <w:pPr>
              <w:pStyle w:val="TableContents"/>
              <w:bidi w:val="0"/>
              <w:spacing w:before="0" w:after="283"/>
              <w:jc w:val="both"/>
              <w:rPr>
                <w:sz w:val="20"/>
              </w:rPr>
            </w:pPr>
            <w:r>
              <w:rPr>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bookmarkStart w:id="16" w:name="xdx_90A_edei--SolicitingMaterial_c202603"/>
            <w:bookmarkEnd w:id="16"/>
            <w:r>
              <w:rPr/>
              <w:t>☐</w:t>
            </w:r>
          </w:p>
        </w:tc>
        <w:tc>
          <w:tcPr>
            <w:tcW w:w="7325" w:type="dxa"/>
            <w:tcBorders/>
            <w:vAlign w:val="center"/>
          </w:tcPr>
          <w:p>
            <w:pPr>
              <w:pStyle w:val="TableContents"/>
              <w:bidi w:val="0"/>
              <w:spacing w:before="0" w:after="283"/>
              <w:jc w:val="both"/>
              <w:rPr>
                <w:sz w:val="20"/>
              </w:rPr>
            </w:pPr>
            <w:r>
              <w:rPr>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7" w:name="xdx_90D_edei--PreCommencementTenderOffer"/>
            <w:bookmarkEnd w:id="17"/>
            <w:r>
              <w:rPr/>
              <w:t>☐</w:t>
            </w:r>
          </w:p>
        </w:tc>
        <w:tc>
          <w:tcPr>
            <w:tcW w:w="9065" w:type="dxa"/>
            <w:tcBorders/>
            <w:vAlign w:val="center"/>
          </w:tcPr>
          <w:p>
            <w:pPr>
              <w:pStyle w:val="TableContents"/>
              <w:bidi w:val="0"/>
              <w:spacing w:before="0" w:after="283"/>
              <w:jc w:val="both"/>
              <w:rPr>
                <w:sz w:val="20"/>
              </w:rPr>
            </w:pPr>
            <w:r>
              <w:rPr>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bookmarkStart w:id="18" w:name="xdx_90D_edei--PreCommencementIssuerTende"/>
            <w:bookmarkEnd w:id="18"/>
            <w:r>
              <w:rPr/>
              <w:t>☐</w:t>
            </w:r>
          </w:p>
        </w:tc>
        <w:tc>
          <w:tcPr>
            <w:tcW w:w="9005" w:type="dxa"/>
            <w:tcBorders/>
            <w:vAlign w:val="center"/>
          </w:tcPr>
          <w:p>
            <w:pPr>
              <w:pStyle w:val="TableContents"/>
              <w:bidi w:val="0"/>
              <w:spacing w:before="0" w:after="283"/>
              <w:jc w:val="both"/>
              <w:rPr>
                <w:sz w:val="20"/>
              </w:rPr>
            </w:pPr>
            <w:r>
              <w:rPr>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8055" w:type="dxa"/>
        <w:jc w:val="left"/>
        <w:tblInd w:w="0" w:type="dxa"/>
        <w:tblLayout w:type="fixed"/>
        <w:tblCellMar>
          <w:top w:w="0" w:type="dxa"/>
          <w:left w:w="0" w:type="dxa"/>
          <w:bottom w:w="28" w:type="dxa"/>
          <w:right w:w="0" w:type="dxa"/>
        </w:tblCellMar>
      </w:tblPr>
      <w:tblGrid>
        <w:gridCol w:w="2840"/>
        <w:gridCol w:w="60"/>
        <w:gridCol w:w="1385"/>
        <w:gridCol w:w="60"/>
        <w:gridCol w:w="3710"/>
      </w:tblGrid>
      <w:tr>
        <w:trPr/>
        <w:tc>
          <w:tcPr>
            <w:tcW w:w="2840" w:type="dxa"/>
            <w:tcBorders>
              <w:bottom w:val="single" w:sz="12"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385" w:type="dxa"/>
            <w:tcBorders>
              <w:bottom w:val="single" w:sz="12" w:space="0" w:color="000000"/>
            </w:tcBorders>
            <w:vAlign w:val="center"/>
          </w:tcPr>
          <w:p>
            <w:pPr>
              <w:pStyle w:val="TableContents"/>
              <w:bidi w:val="0"/>
              <w:spacing w:before="0" w:after="283"/>
              <w:jc w:val="center"/>
              <w:rPr>
                <w:b/>
                <w:sz w:val="20"/>
              </w:rPr>
            </w:pPr>
            <w:r>
              <w:rPr>
                <w:b/>
                <w:sz w:val="20"/>
              </w:rPr>
              <w:t>Trading symbol</w:t>
            </w:r>
          </w:p>
        </w:tc>
        <w:tc>
          <w:tcPr>
            <w:tcW w:w="60" w:type="dxa"/>
            <w:tcBorders/>
            <w:tcMar>
              <w:bottom w:w="0" w:type="dxa"/>
            </w:tcMar>
            <w:vAlign w:val="center"/>
          </w:tcPr>
          <w:p>
            <w:pPr>
              <w:pStyle w:val="TableContents"/>
              <w:bidi w:val="0"/>
              <w:spacing w:before="0" w:after="283"/>
              <w:jc w:val="center"/>
              <w:rPr/>
            </w:pPr>
            <w:r>
              <w:rPr/>
              <w:t> </w:t>
            </w:r>
          </w:p>
        </w:tc>
        <w:tc>
          <w:tcPr>
            <w:tcW w:w="3710" w:type="dxa"/>
            <w:tcBorders>
              <w:bottom w:val="single" w:sz="12" w:space="0" w:color="000000"/>
            </w:tcBorders>
            <w:vAlign w:val="center"/>
          </w:tcPr>
          <w:p>
            <w:pPr>
              <w:pStyle w:val="TableContents"/>
              <w:bidi w:val="0"/>
              <w:spacing w:before="0" w:after="283"/>
              <w:jc w:val="center"/>
              <w:rPr>
                <w:b/>
                <w:sz w:val="20"/>
              </w:rPr>
            </w:pPr>
            <w:r>
              <w:rPr>
                <w:b/>
                <w:sz w:val="20"/>
              </w:rPr>
              <w:t>Name of each exchange on which registered</w:t>
            </w:r>
          </w:p>
        </w:tc>
      </w:tr>
      <w:tr>
        <w:trPr/>
        <w:tc>
          <w:tcPr>
            <w:tcW w:w="2840" w:type="dxa"/>
            <w:tcBorders/>
            <w:shd w:fill="CCEEFF" w:val="clear"/>
            <w:tcMar>
              <w:bottom w:w="0" w:type="dxa"/>
            </w:tcMar>
            <w:vAlign w:val="center"/>
          </w:tcPr>
          <w:p>
            <w:pPr>
              <w:pStyle w:val="TableContents"/>
              <w:bidi w:val="0"/>
              <w:spacing w:before="0" w:after="283"/>
              <w:jc w:val="center"/>
              <w:rPr>
                <w:b/>
                <w:sz w:val="20"/>
              </w:rPr>
            </w:pPr>
            <w:bookmarkStart w:id="19" w:name="xdx_902_edei--Security12bTitle_c20260325"/>
            <w:bookmarkEnd w:id="19"/>
            <w:r>
              <w:rPr>
                <w:b/>
                <w:sz w:val="20"/>
              </w:rPr>
              <w:t>Common Stock, par value $0.012</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385" w:type="dxa"/>
            <w:tcBorders/>
            <w:shd w:fill="CCEEFF" w:val="clear"/>
            <w:tcMar>
              <w:bottom w:w="0" w:type="dxa"/>
            </w:tcMar>
            <w:vAlign w:val="center"/>
          </w:tcPr>
          <w:p>
            <w:pPr>
              <w:pStyle w:val="TableContents"/>
              <w:bidi w:val="0"/>
              <w:spacing w:before="0" w:after="283"/>
              <w:jc w:val="center"/>
              <w:rPr>
                <w:b/>
                <w:sz w:val="20"/>
              </w:rPr>
            </w:pPr>
            <w:bookmarkStart w:id="20" w:name="xdx_909_edei--TradingSymbol_c20260325__2"/>
            <w:bookmarkEnd w:id="20"/>
            <w:r>
              <w:rPr>
                <w:b/>
                <w:sz w:val="20"/>
              </w:rPr>
              <w:t>ORMP</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3710" w:type="dxa"/>
            <w:tcBorders/>
            <w:shd w:fill="CCEEFF" w:val="clear"/>
            <w:tcMar>
              <w:bottom w:w="0" w:type="dxa"/>
            </w:tcMar>
            <w:vAlign w:val="center"/>
          </w:tcPr>
          <w:p>
            <w:pPr>
              <w:pStyle w:val="TableContents"/>
              <w:bidi w:val="0"/>
              <w:spacing w:before="0" w:after="283"/>
              <w:jc w:val="center"/>
              <w:rPr>
                <w:b/>
                <w:sz w:val="20"/>
              </w:rPr>
            </w:pPr>
            <w:r>
              <w:rPr>
                <w:b/>
                <w:sz w:val="20"/>
              </w:rPr>
              <w:t xml:space="preserve">The </w:t>
            </w:r>
            <w:bookmarkStart w:id="21" w:name="xdx_90B_edei--SecurityExchangeName_c2026"/>
            <w:bookmarkEnd w:id="21"/>
            <w:r>
              <w:rPr>
                <w:b/>
                <w:sz w:val="20"/>
              </w:rPr>
              <w:t>Nasdaq Capital Market,</w:t>
              <w:br/>
              <w:t>Tel Aviv Stock Exchange</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B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Closing of Share Purchase Agreement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reported in a Current Report on Form 8-K filed with the Securities and Exchange Commission (the “SEC”) on January 14, 2026 (the “Prior 8-K”), on January 12, 2026, Oramed Pharmaceuticals Inc. (the “Company”) entered into that certain Share Purchase Agreement (“Share Purchase Agreement”), by and among the Company, Lifeward Ltd. (“Lifeward”) and Oratech Pharma, Inc., the Company’s wholly-owned subsidiary (“Oratech”). Pursuant to the Share Purchase Agreement, Lifeward agreed to acquire all of the outstanding equity interests in Oratech from the Company in consideration for (A) Lifeward issuing to the Company a number of ordinary shares, no par value per share, of Lifeward (“Lifeward Ordinary Shares”), and pre-funded warrants (the “Pre-Funded Warrants”) to purchase the number of Lifeward Ordinary Shares equal to up to 49.99% of Lifeward’s fully diluted equity capitalization, (B) Lifeward issuing to the Company warrants (the “Share Purchase Warrants”) to purchase Lifeward Ordinary Shares, and (C) certain ongoing revenue-based payments (the “Revenue Sharing Payments”) equal to 4% of the Net Revenue (as defined in the Share Purchase Agreement) of Lifeward’s ReWalk Personal Exoskeleton products and related extended warranties until the earliest to occur of (i) the date that is 10 years after the Closing, (ii) the date on which the Company has received the Maximum Amount (as defined in the Share Purchase Agreement) of the Revenue Sharing Payments, or (iii) the first date on which Lifeward’s market capitalization equals or exceeds $200 million (collectively, the “Share Purchase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25, 2026, Lifeward completed its acquisition of Oratech in accordance with the terms of the Share Purchase Agreement. At the closing of the Share Purchase Transaction, Lifeward issued to the Company an aggregate of (i) 1,250,363 Lifeward Ordinary Shares, (ii) 1,006,113 Pre-Funded Warrants at an exercise price equal to $0.0001 per share, and (iii) Share Purchase Warrants to purchase up to 1,296,296 Lifeward Ordinary Shares at an initial exercise price equal to $5.40 per share (subject to certain adjustments as set forth in the Share Purchase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Closing of Notes Securities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reported in the Prior 8-K, on January 12, 2026, the Company entered into a Securities Purchase Agreement (the “Notes Purchase Agreement”) with Lifeward and the other investors signatory thereto (the “Investors”), pursuant to which, the Company agreed to purchase from Lifeward in a private placement (the “Notes Private Placement”), senior secured convertible notes in an aggregate principal amount of $9,000,000 (the “Notes”) convertible into Lifeward Ordinary Shares (the “Note Shares”) and accompanying warrants (the “Purchase Agreement Warrants”) to purchase Lifeward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closing (the “Notes Closing”) of the Notes Private Placement took place on March 25, 2026. At the Notes Closing, Lifeward issued to the Company (i) $9,000,000.00 aggregate principal amount of the Notes with an initial conversion price equal to $5.40 per share (subject to certain adjustments as set forth in the Notes), and (ii) Purchase Agreement Warrants to purchase up to 1,666,666 Lifeward Ordinary Shares at an initial exercise price equal to $5.40 per share (subject to certain adjustments as set forth in the Purchase Agreement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descriptions of the Share Purchase Agreement, Notes Purchase Agreement, Pre-Funded Warrants, Share Purchase Warrants, Notes and Purchase Agreement Warrants are not complete and are qualified in their entirety by reference to the full text of such documents, the forms and copies, as applicable, of which are filed as Exhibits 10.1, 10.2, 4.1, 4.2, 4.3 and 4.4 respectively, to the Prior 8-K and are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2.01 Completion of Acquisition or Disposition of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in Item 1.01 of this Current Report on Form 8-K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720"/>
        <w:jc w:val="both"/>
        <w:rPr>
          <w:caps w:val="false"/>
          <w:smallCaps w:val="false"/>
        </w:rPr>
      </w:pPr>
      <w:r>
        <w:rPr>
          <w:caps w:val="false"/>
          <w:smallCaps w:val="false"/>
        </w:rPr>
        <w:t> </w:t>
      </w:r>
    </w:p>
    <w:tbl>
      <w:tblPr>
        <w:tblW w:w="3439" w:type="dxa"/>
        <w:jc w:val="left"/>
        <w:tblInd w:w="0" w:type="dxa"/>
        <w:tblLayout w:type="fixed"/>
        <w:tblCellMar>
          <w:top w:w="0" w:type="dxa"/>
          <w:left w:w="0" w:type="dxa"/>
          <w:bottom w:w="0" w:type="dxa"/>
          <w:right w:w="0" w:type="dxa"/>
        </w:tblCellMar>
      </w:tblPr>
      <w:tblGrid>
        <w:gridCol w:w="75"/>
        <w:gridCol w:w="695"/>
        <w:gridCol w:w="2669"/>
      </w:tblGrid>
      <w:tr>
        <w:trPr/>
        <w:tc>
          <w:tcPr>
            <w:tcW w:w="75" w:type="dxa"/>
            <w:tcBorders/>
            <w:vAlign w:val="center"/>
          </w:tcPr>
          <w:p>
            <w:pPr>
              <w:pStyle w:val="TableContents"/>
              <w:bidi w:val="0"/>
              <w:spacing w:before="0" w:after="283"/>
              <w:jc w:val="left"/>
              <w:rPr/>
            </w:pPr>
            <w:r>
              <w:rPr/>
              <w:t> </w:t>
            </w:r>
          </w:p>
        </w:tc>
        <w:tc>
          <w:tcPr>
            <w:tcW w:w="3364" w:type="dxa"/>
            <w:gridSpan w:val="2"/>
            <w:tcBorders/>
            <w:vAlign w:val="center"/>
          </w:tcPr>
          <w:p>
            <w:pPr>
              <w:pStyle w:val="TableContents"/>
              <w:bidi w:val="0"/>
              <w:spacing w:before="0" w:after="283"/>
              <w:jc w:val="left"/>
              <w:rPr>
                <w:b/>
                <w:sz w:val="20"/>
              </w:rPr>
            </w:pPr>
            <w:r>
              <w:rPr>
                <w:b/>
                <w:sz w:val="20"/>
              </w:rPr>
              <w:t>ORAMED PHARMACEUTICALS INC.</w:t>
            </w:r>
          </w:p>
        </w:tc>
      </w:tr>
      <w:tr>
        <w:trPr/>
        <w:tc>
          <w:tcPr>
            <w:tcW w:w="7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 </w:t>
            </w:r>
          </w:p>
        </w:tc>
        <w:tc>
          <w:tcPr>
            <w:tcW w:w="266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sz w:val="20"/>
              </w:rPr>
            </w:pPr>
            <w:r>
              <w:rPr>
                <w:sz w:val="20"/>
              </w:rPr>
              <w:t>By:</w:t>
            </w:r>
          </w:p>
        </w:tc>
        <w:tc>
          <w:tcPr>
            <w:tcW w:w="2669"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Nadav Kidron               </w:t>
            </w:r>
          </w:p>
        </w:tc>
      </w:tr>
      <w:tr>
        <w:trPr/>
        <w:tc>
          <w:tcPr>
            <w:tcW w:w="7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sz w:val="20"/>
              </w:rPr>
            </w:pPr>
            <w:r>
              <w:rPr>
                <w:sz w:val="20"/>
              </w:rPr>
              <w:t>Name:</w:t>
            </w:r>
          </w:p>
        </w:tc>
        <w:tc>
          <w:tcPr>
            <w:tcW w:w="2669" w:type="dxa"/>
            <w:tcBorders/>
            <w:vAlign w:val="center"/>
          </w:tcPr>
          <w:p>
            <w:pPr>
              <w:pStyle w:val="TableContents"/>
              <w:bidi w:val="0"/>
              <w:spacing w:before="0" w:after="283"/>
              <w:jc w:val="left"/>
              <w:rPr>
                <w:sz w:val="20"/>
              </w:rPr>
            </w:pPr>
            <w:r>
              <w:rPr>
                <w:sz w:val="20"/>
              </w:rPr>
              <w:t>Nadav Kidron</w:t>
            </w:r>
          </w:p>
        </w:tc>
      </w:tr>
      <w:tr>
        <w:trPr/>
        <w:tc>
          <w:tcPr>
            <w:tcW w:w="7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sz w:val="20"/>
              </w:rPr>
            </w:pPr>
            <w:r>
              <w:rPr>
                <w:sz w:val="20"/>
              </w:rPr>
              <w:t>Title:</w:t>
            </w:r>
          </w:p>
        </w:tc>
        <w:tc>
          <w:tcPr>
            <w:tcW w:w="2669" w:type="dxa"/>
            <w:tcBorders/>
            <w:vAlign w:val="center"/>
          </w:tcPr>
          <w:p>
            <w:pPr>
              <w:pStyle w:val="TableContents"/>
              <w:bidi w:val="0"/>
              <w:spacing w:before="0" w:after="283"/>
              <w:jc w:val="left"/>
              <w:rPr>
                <w:sz w:val="20"/>
              </w:rPr>
            </w:pPr>
            <w:r>
              <w:rPr>
                <w:sz w:val="20"/>
              </w:rPr>
              <w:t>President and CEO</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31, 2026</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p>
      <w:pPr>
        <w:pStyle w:val="TextBody"/>
        <w:bidi w:val="0"/>
        <w:spacing w:before="0" w:after="283"/>
        <w:jc w:val="left"/>
        <w:rPr>
          <w:bdr w:val="single" w:sz="12" w:space="1" w:color="000000"/>
        </w:rPr>
      </w:pPr>
      <w:r>
        <w:rPr>
          <w:bdr w:val="single" w:sz="12"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965</Words>
  <Characters>5379</Characters>
  <CharactersWithSpaces>6361</CharactersWithSpaces>
  <Paragraphs>123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