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f10q0323_oramedphar.htm"/>
      <w:bookmarkStart w:id="1" w:name="ksf10q0323_oramedphar"/>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March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001-35813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535" w:type="dxa"/>
        <w:jc w:val="left"/>
        <w:tblInd w:w="0" w:type="dxa"/>
        <w:tblLayout w:type="fixed"/>
        <w:tblCellMar>
          <w:top w:w="0" w:type="dxa"/>
          <w:left w:w="0" w:type="dxa"/>
          <w:bottom w:w="28" w:type="dxa"/>
          <w:right w:w="0" w:type="dxa"/>
        </w:tblCellMar>
      </w:tblPr>
      <w:tblGrid>
        <w:gridCol w:w="4940"/>
        <w:gridCol w:w="60"/>
        <w:gridCol w:w="1535"/>
      </w:tblGrid>
      <w:tr>
        <w:trPr/>
        <w:tc>
          <w:tcPr>
            <w:tcW w:w="49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98-0376008</w:t>
            </w:r>
          </w:p>
        </w:tc>
      </w:tr>
      <w:tr>
        <w:trPr/>
        <w:tc>
          <w:tcPr>
            <w:tcW w:w="49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r>
        <w:trPr/>
        <w:tc>
          <w:tcPr>
            <w:tcW w:w="49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1185 Avenue of the Americas, Third Floor, New York, NY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10036</w:t>
            </w:r>
          </w:p>
        </w:tc>
      </w:tr>
      <w:tr>
        <w:trPr/>
        <w:tc>
          <w:tcPr>
            <w:tcW w:w="49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844-967-2633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7965" w:type="dxa"/>
        <w:jc w:val="left"/>
        <w:tblInd w:w="0" w:type="dxa"/>
        <w:tblLayout w:type="fixed"/>
        <w:tblCellMar>
          <w:top w:w="0" w:type="dxa"/>
          <w:left w:w="0" w:type="dxa"/>
          <w:bottom w:w="28" w:type="dxa"/>
          <w:right w:w="0" w:type="dxa"/>
        </w:tblCellMar>
      </w:tblPr>
      <w:tblGrid>
        <w:gridCol w:w="2750"/>
        <w:gridCol w:w="60"/>
        <w:gridCol w:w="1385"/>
        <w:gridCol w:w="60"/>
        <w:gridCol w:w="3710"/>
      </w:tblGrid>
      <w:tr>
        <w:trPr/>
        <w:tc>
          <w:tcPr>
            <w:tcW w:w="27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7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$0.012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ORMP</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br/>
              <w:t>Tel Aviv Stock Exchange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1880"/>
        <w:gridCol w:w="230"/>
        <w:gridCol w:w="2270"/>
        <w:gridCol w:w="245"/>
      </w:tblGrid>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Large accelerated filer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Accelerated filer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Non-accelerated filer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11, 2023, there were 40,027,396 shares of the issuer’s common stock, $0.012 par value per share,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PART I - FINANCIAL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96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ITEM 1 - FINANCIAL STATEMENTS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96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ITEM 2 - MANAGEMENT’S DISCUSSION AND ANALYSIS OF FINANCIAL CONDITION AND RESULTS OF OPERATIONS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9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96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ITEM 3 - QUANTITATIVE AND QUALITATIVE DISCLOSURES ABOUT MARKET RISK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9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96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ITEM 4 - CONTROLS AND PROCEDURES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9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96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i w:val="false"/>
                  <w:caps w:val="false"/>
                  <w:smallCaps w:val="false"/>
                  <w:sz w:val="20"/>
                </w:rPr>
                <w:t>PART II - OTHER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9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96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ITEM 6 - EXHIBITS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Quarterly Report on Form 10-Q, the terms “we,” “us,” “our” and the “Company” mean Oramed Pharmaceuticals Inc. and our wholly-owned subsidiaries, unless otherwise indicated. All dollar amounts refer to U.S. Dollars unless otherwise indicated.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exchange rate between the New Israeli Shekel, or NIS, and the dollar, as quoted by the Bank of Israel, was NIS 3.615 to $1.00. Unless indicated otherwise by the context, statements in this Quarterly Report on Form 10-Q that provide the dollar equivalent of NIS amounts or provide the NIS equivalent of dollar amounts are based on such exchange rate.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contained in this Quarterly Report on Form 10-Q that are not historical facts are “forward-looking statements” within the meaning of the Private Securities Litigation Reform Act of 1995 and other federal securities laws and the Israeli securities law. Words such as “expects,” “anticipates,” “intends,” “plans,” “planned expenditures,” “believes,” “seeks,” “estimates,” “considers” and similar expressions or variations of such words are intended to identify forward-looking statements, but are not deemed to represent an all-inclusive means of identifying forward-looking statements as denoted in this Quarterly Report on Form 10-Q. Additionally, statements concerning future matters are forward-looking statements.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Such forward-looking statements include, among other statements, statements regarding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comprehensive analysis of data from our ORA-D-013-1 Phase 3 trial to understand if there is a path forward for our oral insulin candidate;</w:t>
            </w:r>
          </w:p>
        </w:tc>
      </w:tr>
    </w:tbl>
    <w:p>
      <w:pPr>
        <w:pStyle w:val="TextBody"/>
        <w:bidi w:val="0"/>
        <w:spacing w:before="0" w:after="0"/>
        <w:ind w:left="0" w:right="0" w:hanging="0"/>
        <w:jc w:val="left"/>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17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 to evaluate potential strategic opportunities;</w:t>
            </w:r>
          </w:p>
        </w:tc>
      </w:tr>
    </w:tbl>
    <w:p>
      <w:pPr>
        <w:pStyle w:val="TextBody"/>
        <w:bidi w:val="0"/>
        <w:spacing w:before="0" w:after="0"/>
        <w:ind w:left="0" w:right="0" w:hanging="0"/>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enhance value for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17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development and potential benefits from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prospects of entering into additional license agreements, or other partnerships or forms of cooperation with other companies or medical institutions;</w:t>
            </w:r>
          </w:p>
        </w:tc>
      </w:tr>
    </w:tbl>
    <w:p>
      <w:pPr>
        <w:pStyle w:val="TextBody"/>
        <w:bidi w:val="0"/>
        <w:spacing w:before="0" w:after="0"/>
        <w:ind w:left="0" w:right="0" w:hanging="0"/>
        <w:jc w:val="left"/>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17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milestones, conditions and royalties under our license agreements;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timing of a clinical study for the potential Oravax Medical Inc., or Oravax, vaccine and its potential to protect against the coronavirus, or COVID-19, pandemic;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plans, including pre-clinical and clinical trials plans and the timing of enrollment, obtaining results and conclusion of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 that our technology has the potential to deliver medications and vaccines orally that today can only be delivered via injection;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 ability of our technology based on product efficacy, safety, patient convenience, reliability, value and patent position;</w:t>
            </w:r>
          </w:p>
        </w:tc>
      </w:tr>
    </w:tbl>
    <w:p>
      <w:pPr>
        <w:pStyle w:val="TextBody"/>
        <w:bidi w:val="0"/>
        <w:spacing w:before="0" w:after="0"/>
        <w:ind w:left="720" w:right="0" w:hanging="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market demand for our products;</w:t>
            </w:r>
          </w:p>
        </w:tc>
      </w:tr>
    </w:tbl>
    <w:p>
      <w:pPr>
        <w:pStyle w:val="TextBody"/>
        <w:bidi w:val="0"/>
        <w:spacing w:before="0" w:after="0"/>
        <w:ind w:left="0" w:right="0" w:hanging="0"/>
        <w:jc w:val="left"/>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patent protection for our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17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that our research and development expenses will continue to be our major expenditure;</w:t>
            </w:r>
          </w:p>
        </w:tc>
      </w:tr>
    </w:tbl>
    <w:p>
      <w:pPr>
        <w:pStyle w:val="TextBody"/>
        <w:bidi w:val="0"/>
        <w:spacing w:before="0" w:after="0"/>
        <w:ind w:left="0" w:right="0" w:hanging="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short- and long-term capital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outlook for the coming months and future periods, including but not limited to our expectations regarding future revenue and expenses; and</w:t>
            </w:r>
          </w:p>
        </w:tc>
      </w:tr>
    </w:tbl>
    <w:p>
      <w:pPr>
        <w:pStyle w:val="TextBody"/>
        <w:bidi w:val="0"/>
        <w:spacing w:before="0" w:after="0"/>
        <w:ind w:left="0" w:right="0" w:hanging="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any other plans and strategies for our business.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forward-looking statements in this Quarterly Report on Form 10-Q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“Item 1A. Risk Factors” in our Annual Report on Form 10-K for the fiscal year ended December 31, 2022, or our Annual Report, as filed with the Securities and Exchange Commission, or the SEC, on March 6, 2023, as well as those discussed elsewhere in our Annual Report and expressed from time to time in our other filings with the SEC. In addition, historic results of scientific research, clinical and preclinical trials do not guarantee that the conclusions of future research or trials would not suggest different conclusions. Also, historic results referred to in this Quarterly Report on Form 10-Q could be interpreted differently in light of additional research, clinical and preclinical trials results. Readers are urged not to place undue reliance on these forward-looking statements, which speak only as of the date of this Quarterly Report on Form 10-Q. Except as required by law, we undertake no obligation to revise or update any forward-looking statements in order to reflect any event or circumstance that may arise after the date of this Quarterly Report on Form 10-Q. Readers are urged to carefully review and consider the various disclosures made throughout the entirety of this Quarterly Report on Form 10-Q which attempt to advise interested parties of the risks and factors that may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5405"/>
        <w:gridCol w:w="455"/>
      </w:tblGrid>
      <w:tr>
        <w:trPr/>
        <w:tc>
          <w:tcPr>
            <w:tcW w:w="540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FINANCIAL STATEMENTS:</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5405" w:type="dxa"/>
            <w:tcBorders/>
            <w:vAlign w:val="center"/>
          </w:tcPr>
          <w:p>
            <w:pPr>
              <w:pStyle w:val="TableContents"/>
              <w:bidi w:val="0"/>
              <w:spacing w:before="0" w:after="283"/>
              <w:jc w:val="left"/>
              <w:rPr/>
            </w:pPr>
            <w:hyperlink w:anchor="fin_001">
              <w:r>
                <w:rPr>
                  <w:rStyle w:val="InternetLink"/>
                  <w:rFonts w:ascii="Times New Roman;Times;Serif" w:hAnsi="Times New Roman;Times;Serif"/>
                  <w:b w:val="false"/>
                  <w:i w:val="false"/>
                  <w:caps w:val="false"/>
                  <w:smallCaps w:val="false"/>
                  <w:sz w:val="20"/>
                </w:rPr>
                <w:t>Balance sheets</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405" w:type="dxa"/>
            <w:tcBorders/>
            <w:shd w:fill="CCEEFF" w:val="clear"/>
            <w:vAlign w:val="center"/>
          </w:tcPr>
          <w:p>
            <w:pPr>
              <w:pStyle w:val="TableContents"/>
              <w:bidi w:val="0"/>
              <w:spacing w:before="0" w:after="283"/>
              <w:jc w:val="left"/>
              <w:rPr/>
            </w:pPr>
            <w:hyperlink w:anchor="fin_002">
              <w:r>
                <w:rPr>
                  <w:rStyle w:val="InternetLink"/>
                  <w:rFonts w:ascii="Times New Roman;Times;Serif" w:hAnsi="Times New Roman;Times;Serif"/>
                  <w:b w:val="false"/>
                  <w:i w:val="false"/>
                  <w:caps w:val="false"/>
                  <w:smallCaps w:val="false"/>
                  <w:sz w:val="20"/>
                </w:rPr>
                <w:t>Statements of comprehensive loss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405" w:type="dxa"/>
            <w:tcBorders/>
            <w:vAlign w:val="center"/>
          </w:tcPr>
          <w:p>
            <w:pPr>
              <w:pStyle w:val="TableContents"/>
              <w:bidi w:val="0"/>
              <w:spacing w:before="0" w:after="283"/>
              <w:jc w:val="left"/>
              <w:rPr/>
            </w:pPr>
            <w:hyperlink w:anchor="fin_003">
              <w:r>
                <w:rPr>
                  <w:rStyle w:val="InternetLink"/>
                  <w:rFonts w:ascii="Times New Roman;Times;Serif" w:hAnsi="Times New Roman;Times;Serif"/>
                  <w:b w:val="false"/>
                  <w:i w:val="false"/>
                  <w:caps w:val="false"/>
                  <w:smallCaps w:val="false"/>
                  <w:sz w:val="20"/>
                </w:rPr>
                <w:t>Statements of changes in stockholders’ equity</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405" w:type="dxa"/>
            <w:tcBorders/>
            <w:shd w:fill="CCEEFF" w:val="clear"/>
            <w:vAlign w:val="center"/>
          </w:tcPr>
          <w:p>
            <w:pPr>
              <w:pStyle w:val="TableContents"/>
              <w:bidi w:val="0"/>
              <w:spacing w:before="0" w:after="283"/>
              <w:jc w:val="left"/>
              <w:rPr/>
            </w:pPr>
            <w:hyperlink w:anchor="fin_004">
              <w:r>
                <w:rPr>
                  <w:rStyle w:val="InternetLink"/>
                  <w:rFonts w:ascii="Times New Roman;Times;Serif" w:hAnsi="Times New Roman;Times;Serif"/>
                  <w:b w:val="false"/>
                  <w:i w:val="false"/>
                  <w:caps w:val="false"/>
                  <w:smallCaps w:val="false"/>
                  <w:sz w:val="20"/>
                </w:rPr>
                <w:t>Statements of cash flows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405" w:type="dxa"/>
            <w:tcBorders/>
            <w:vAlign w:val="center"/>
          </w:tcPr>
          <w:p>
            <w:pPr>
              <w:pStyle w:val="TableContents"/>
              <w:bidi w:val="0"/>
              <w:spacing w:before="0" w:after="283"/>
              <w:jc w:val="left"/>
              <w:rPr/>
            </w:pPr>
            <w:hyperlink w:anchor="fin_005">
              <w:r>
                <w:rPr>
                  <w:rStyle w:val="InternetLink"/>
                  <w:rFonts w:ascii="Times New Roman;Times;Serif" w:hAnsi="Times New Roman;Times;Serif"/>
                  <w:b w:val="false"/>
                  <w:i w:val="false"/>
                  <w:caps w:val="false"/>
                  <w:smallCaps w:val="false"/>
                  <w:sz w:val="20"/>
                </w:rPr>
                <w:t>Notes to financial statements</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fin_001"/>
      <w:bookmarkEnd w:id="4"/>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2"/>
        <w:gridCol w:w="60"/>
        <w:gridCol w:w="142"/>
        <w:gridCol w:w="891"/>
        <w:gridCol w:w="95"/>
        <w:gridCol w:w="60"/>
        <w:gridCol w:w="188"/>
        <w:gridCol w:w="1187"/>
        <w:gridCol w:w="90"/>
      </w:tblGrid>
      <w:tr>
        <w:trPr/>
        <w:tc>
          <w:tcPr>
            <w:tcW w:w="74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3"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b/>
              </w:rPr>
            </w:pPr>
            <w:r>
              <w:rPr>
                <w:b/>
              </w:rPr>
              <w:t>December 31,</w:t>
            </w:r>
          </w:p>
        </w:tc>
        <w:tc>
          <w:tcPr>
            <w:tcW w:w="90" w:type="dxa"/>
            <w:tcBorders/>
            <w:vAlign w:val="center"/>
          </w:tcPr>
          <w:p>
            <w:pPr>
              <w:pStyle w:val="TableContents"/>
              <w:bidi w:val="0"/>
              <w:spacing w:before="0" w:after="283"/>
              <w:jc w:val="left"/>
              <w:rPr/>
            </w:pPr>
            <w:r>
              <w:rPr/>
              <w:t> </w:t>
            </w:r>
          </w:p>
        </w:tc>
      </w:tr>
      <w:tr>
        <w:trPr/>
        <w:tc>
          <w:tcPr>
            <w:tcW w:w="74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0" w:type="dxa"/>
            <w:tcBorders/>
            <w:vAlign w:val="center"/>
          </w:tcPr>
          <w:p>
            <w:pPr>
              <w:pStyle w:val="TableContents"/>
              <w:bidi w:val="0"/>
              <w:spacing w:before="0" w:after="283"/>
              <w:jc w:val="left"/>
              <w:rPr/>
            </w:pPr>
            <w:r>
              <w:rPr/>
              <w:t> </w:t>
            </w:r>
          </w:p>
        </w:tc>
      </w:tr>
      <w:tr>
        <w:trPr/>
        <w:tc>
          <w:tcPr>
            <w:tcW w:w="7492"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1033"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r>
      <w:tr>
        <w:trPr/>
        <w:tc>
          <w:tcPr>
            <w:tcW w:w="7492"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033"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24,104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40,464</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pPr>
            <w:r>
              <w:rPr/>
              <w:t>Short-term deposits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127,363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111,513</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2,267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3,743</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pPr>
            <w:r>
              <w:rPr/>
              <w:t>Prepaid expenses and other current assets</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1" w:type="dxa"/>
            <w:tcBorders>
              <w:bottom w:val="single" w:sz="12" w:space="0" w:color="000000"/>
            </w:tcBorders>
            <w:tcMar>
              <w:bottom w:w="28" w:type="dxa"/>
            </w:tcMar>
            <w:vAlign w:val="center"/>
          </w:tcPr>
          <w:p>
            <w:pPr>
              <w:pStyle w:val="TableContents"/>
              <w:bidi w:val="0"/>
              <w:spacing w:before="0" w:after="283"/>
              <w:jc w:val="right"/>
              <w:rPr/>
            </w:pPr>
            <w:r>
              <w:rPr/>
              <w:t>1,423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pPr>
            <w:r>
              <w:rPr/>
              <w:t>1,389</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12" w:space="0" w:color="000000"/>
            </w:tcBorders>
            <w:shd w:fill="CCEEFF" w:val="clear"/>
            <w:tcMar>
              <w:bottom w:w="28" w:type="dxa"/>
            </w:tcMar>
            <w:vAlign w:val="center"/>
          </w:tcPr>
          <w:p>
            <w:pPr>
              <w:pStyle w:val="TableContents"/>
              <w:bidi w:val="0"/>
              <w:spacing w:before="0" w:after="283"/>
              <w:jc w:val="right"/>
              <w:rPr/>
            </w:pPr>
            <w:r>
              <w:rPr/>
              <w:t>155,157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157,109</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b/>
              </w:rPr>
            </w:pPr>
            <w:r>
              <w:rPr>
                <w:b/>
              </w:rPr>
              <w:t>LONG-TERM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pPr>
            <w:r>
              <w:rPr/>
              <w:t>Long-term deposits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7</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Long-term investments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2,700</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pPr>
            <w:r>
              <w:rPr/>
              <w:t>Amounts funded in respect of employee rights upon retirement</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24</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977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815</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pPr>
            <w:r>
              <w:rPr/>
              <w:t>Operating lease right-of-use assets</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1" w:type="dxa"/>
            <w:tcBorders>
              <w:bottom w:val="single" w:sz="12" w:space="0" w:color="000000"/>
            </w:tcBorders>
            <w:tcMar>
              <w:bottom w:w="28" w:type="dxa"/>
            </w:tcMar>
            <w:vAlign w:val="center"/>
          </w:tcPr>
          <w:p>
            <w:pPr>
              <w:pStyle w:val="TableContents"/>
              <w:bidi w:val="0"/>
              <w:spacing w:before="0" w:after="283"/>
              <w:jc w:val="right"/>
              <w:rPr/>
            </w:pPr>
            <w:r>
              <w:rPr/>
              <w:t>915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pPr>
            <w:r>
              <w:rPr/>
              <w:t>987</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Total long-term assets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12" w:space="0" w:color="000000"/>
            </w:tcBorders>
            <w:shd w:fill="CCEEFF" w:val="clear"/>
            <w:tcMar>
              <w:bottom w:w="28" w:type="dxa"/>
            </w:tcMar>
            <w:vAlign w:val="center"/>
          </w:tcPr>
          <w:p>
            <w:pPr>
              <w:pStyle w:val="TableContents"/>
              <w:bidi w:val="0"/>
              <w:spacing w:before="0" w:after="283"/>
              <w:jc w:val="right"/>
              <w:rPr/>
            </w:pPr>
            <w:r>
              <w:rPr/>
              <w:t>4,623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4,533</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pPr>
            <w:r>
              <w:rPr/>
              <w:t>Total assets</w:t>
            </w:r>
          </w:p>
        </w:tc>
        <w:tc>
          <w:tcPr>
            <w:tcW w:w="60" w:type="dxa"/>
            <w:tcBorders/>
            <w:vAlign w:val="center"/>
          </w:tcPr>
          <w:p>
            <w:pPr>
              <w:pStyle w:val="TableContents"/>
              <w:bidi w:val="0"/>
              <w:spacing w:before="0" w:after="283"/>
              <w:jc w:val="left"/>
              <w:rPr/>
            </w:pPr>
            <w:r>
              <w:rPr/>
              <w:t> </w:t>
            </w:r>
          </w:p>
        </w:tc>
        <w:tc>
          <w:tcPr>
            <w:tcW w:w="142" w:type="dxa"/>
            <w:tcBorders>
              <w:bottom w:val="double" w:sz="10" w:space="0" w:color="000000"/>
            </w:tcBorders>
            <w:tcMar>
              <w:bottom w:w="28" w:type="dxa"/>
            </w:tcMar>
            <w:vAlign w:val="center"/>
          </w:tcPr>
          <w:p>
            <w:pPr>
              <w:pStyle w:val="TableContents"/>
              <w:bidi w:val="0"/>
              <w:spacing w:before="0" w:after="283"/>
              <w:jc w:val="left"/>
              <w:rPr/>
            </w:pPr>
            <w:r>
              <w:rPr/>
              <w:t>$</w:t>
            </w:r>
          </w:p>
        </w:tc>
        <w:tc>
          <w:tcPr>
            <w:tcW w:w="891" w:type="dxa"/>
            <w:tcBorders>
              <w:bottom w:val="double" w:sz="10" w:space="0" w:color="000000"/>
            </w:tcBorders>
            <w:tcMar>
              <w:bottom w:w="28" w:type="dxa"/>
            </w:tcMar>
            <w:vAlign w:val="center"/>
          </w:tcPr>
          <w:p>
            <w:pPr>
              <w:pStyle w:val="TableContents"/>
              <w:bidi w:val="0"/>
              <w:spacing w:before="0" w:after="283"/>
              <w:jc w:val="right"/>
              <w:rPr/>
            </w:pPr>
            <w:r>
              <w:rPr/>
              <w:t>159,780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pPr>
            <w:r>
              <w:rPr/>
              <w:t>$</w:t>
            </w:r>
          </w:p>
        </w:tc>
        <w:tc>
          <w:tcPr>
            <w:tcW w:w="1187" w:type="dxa"/>
            <w:tcBorders>
              <w:bottom w:val="double" w:sz="10" w:space="0" w:color="000000"/>
            </w:tcBorders>
            <w:tcMar>
              <w:bottom w:w="28" w:type="dxa"/>
            </w:tcMar>
            <w:vAlign w:val="center"/>
          </w:tcPr>
          <w:p>
            <w:pPr>
              <w:pStyle w:val="TableContents"/>
              <w:bidi w:val="0"/>
              <w:spacing w:before="0" w:after="283"/>
              <w:jc w:val="right"/>
              <w:rPr/>
            </w:pPr>
            <w:r>
              <w:rPr/>
              <w:t>161,642</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center"/>
              <w:rPr>
                <w:b/>
              </w:rPr>
            </w:pPr>
            <w:r>
              <w:rPr>
                <w:b/>
              </w:rPr>
              <w:t>Liabilities and stockholders’ equity</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b/>
              </w:rPr>
            </w:pPr>
            <w:r>
              <w:rPr>
                <w:b/>
              </w:rPr>
              <w:t>CURRENT LIABILITIES: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4,055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4,158</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pPr>
            <w:r>
              <w:rPr/>
              <w:t>Deferred revenues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674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1,340</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Payable to related parties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pPr>
            <w:r>
              <w:rPr/>
              <w:t>Operating lease liabilities</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1" w:type="dxa"/>
            <w:tcBorders>
              <w:bottom w:val="single" w:sz="12" w:space="0" w:color="000000"/>
            </w:tcBorders>
            <w:tcMar>
              <w:bottom w:w="28" w:type="dxa"/>
            </w:tcMar>
            <w:vAlign w:val="center"/>
          </w:tcPr>
          <w:p>
            <w:pPr>
              <w:pStyle w:val="TableContents"/>
              <w:bidi w:val="0"/>
              <w:spacing w:before="0" w:after="283"/>
              <w:jc w:val="right"/>
              <w:rPr/>
            </w:pPr>
            <w:r>
              <w:rPr/>
              <w:t>242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pPr>
            <w:r>
              <w:rPr/>
              <w:t>247</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12" w:space="0" w:color="000000"/>
            </w:tcBorders>
            <w:shd w:fill="CCEEFF" w:val="clear"/>
            <w:tcMar>
              <w:bottom w:w="28" w:type="dxa"/>
            </w:tcMar>
            <w:vAlign w:val="center"/>
          </w:tcPr>
          <w:p>
            <w:pPr>
              <w:pStyle w:val="TableContents"/>
              <w:bidi w:val="0"/>
              <w:spacing w:before="0" w:after="283"/>
              <w:jc w:val="right"/>
              <w:rPr/>
            </w:pPr>
            <w:r>
              <w:rPr/>
              <w:t>4,972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5,746</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b/>
              </w:rPr>
            </w:pPr>
            <w:r>
              <w:rPr>
                <w:b/>
              </w:rPr>
              <w:t>LONG-TERM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pPr>
            <w:r>
              <w:rPr/>
              <w:t>Long-term deferred revenues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4,000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4,000</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Employee rights upon retirement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21</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pPr>
            <w:r>
              <w:rPr/>
              <w:t>Provision for uncertain tax position</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11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11</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647</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pPr>
            <w:r>
              <w:rPr/>
              <w:t>Other liabilities</w:t>
            </w:r>
          </w:p>
        </w:tc>
        <w:tc>
          <w:tcPr>
            <w:tcW w:w="60" w:type="dxa"/>
            <w:tcBorders/>
            <w:vAlign w:val="center"/>
          </w:tcPr>
          <w:p>
            <w:pPr>
              <w:pStyle w:val="TableContents"/>
              <w:bidi w:val="0"/>
              <w:spacing w:before="0" w:after="283"/>
              <w:jc w:val="left"/>
              <w:rPr/>
            </w:pPr>
            <w:r>
              <w:rPr/>
              <w:t> </w:t>
            </w:r>
          </w:p>
        </w:tc>
        <w:tc>
          <w:tcPr>
            <w:tcW w:w="14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1" w:type="dxa"/>
            <w:tcBorders>
              <w:bottom w:val="single" w:sz="12" w:space="0" w:color="000000"/>
            </w:tcBorders>
            <w:tcMar>
              <w:bottom w:w="28" w:type="dxa"/>
            </w:tcMar>
            <w:vAlign w:val="center"/>
          </w:tcPr>
          <w:p>
            <w:pPr>
              <w:pStyle w:val="TableContents"/>
              <w:bidi w:val="0"/>
              <w:spacing w:before="0" w:after="283"/>
              <w:jc w:val="right"/>
              <w:rPr/>
            </w:pPr>
            <w:r>
              <w:rPr/>
              <w:t>59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pPr>
            <w:r>
              <w:rPr/>
              <w:t>61</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Total long-term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12" w:space="0" w:color="000000"/>
            </w:tcBorders>
            <w:shd w:fill="CCEEFF" w:val="clear"/>
            <w:tcMar>
              <w:bottom w:w="28" w:type="dxa"/>
            </w:tcMar>
            <w:vAlign w:val="center"/>
          </w:tcPr>
          <w:p>
            <w:pPr>
              <w:pStyle w:val="TableContents"/>
              <w:bidi w:val="0"/>
              <w:spacing w:before="0" w:after="283"/>
              <w:jc w:val="right"/>
              <w:rPr/>
            </w:pPr>
            <w:r>
              <w:rPr/>
              <w:t>4,660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4,740</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b/>
              </w:rPr>
            </w:pPr>
            <w:r>
              <w:rPr>
                <w:b/>
              </w:rPr>
              <w:t xml:space="preserve">COMMITMENTS </w:t>
            </w:r>
            <w:r>
              <w:rPr>
                <w:b w:val="false"/>
                <w:i w:val="false"/>
                <w:caps w:val="false"/>
                <w:smallCaps w:val="false"/>
              </w:rPr>
              <w:t>(note 3)</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0"/>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center"/>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b/>
              </w:rPr>
            </w:pPr>
            <w:r>
              <w:rPr>
                <w:b/>
              </w:rPr>
              <w:t>EQUITY ATTRIBUTABLE TO COMPANY’S STOCKHOLDERS: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Common stock, $0.012 par value (60,000,000 authorized shares; 39,969,979 and 39,563,888 shares issued and outstanding as of March 31,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481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476</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92" w:type="dxa"/>
            <w:tcBorders/>
            <w:vAlign w:val="center"/>
          </w:tcPr>
          <w:p>
            <w:pPr>
              <w:pStyle w:val="TableContents"/>
              <w:bidi w:val="0"/>
              <w:spacing w:before="0" w:after="283"/>
              <w:jc w:val="left"/>
              <w:rPr/>
            </w:pPr>
            <w:r>
              <w:rPr/>
              <w:t>Additional paid-in capital</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316,965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314,417</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12" w:space="0" w:color="000000"/>
            </w:tcBorders>
            <w:shd w:fill="CCEEFF" w:val="clear"/>
            <w:tcMar>
              <w:bottom w:w="28" w:type="dxa"/>
            </w:tcMar>
            <w:vAlign w:val="center"/>
          </w:tcPr>
          <w:p>
            <w:pPr>
              <w:pStyle w:val="TableContents"/>
              <w:bidi w:val="0"/>
              <w:spacing w:before="0" w:after="283"/>
              <w:jc w:val="right"/>
              <w:rPr/>
            </w:pPr>
            <w:r>
              <w:rPr/>
              <w:t>(166,476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(163,081</w:t>
            </w:r>
          </w:p>
        </w:tc>
        <w:tc>
          <w:tcPr>
            <w:tcW w:w="90" w:type="dxa"/>
            <w:tcBorders/>
            <w:shd w:fill="CCEEFF" w:val="clear"/>
            <w:vAlign w:val="center"/>
          </w:tcPr>
          <w:p>
            <w:pPr>
              <w:pStyle w:val="TableContents"/>
              <w:bidi w:val="0"/>
              <w:spacing w:before="0" w:after="283"/>
              <w:ind w:left="0" w:right="0" w:hanging="180"/>
              <w:jc w:val="left"/>
              <w:rPr/>
            </w:pPr>
            <w:r>
              <w:rPr/>
              <w:t>)</w:t>
            </w:r>
          </w:p>
        </w:tc>
      </w:tr>
      <w:tr>
        <w:trPr/>
        <w:tc>
          <w:tcPr>
            <w:tcW w:w="7492" w:type="dxa"/>
            <w:tcBorders/>
            <w:vAlign w:val="center"/>
          </w:tcPr>
          <w:p>
            <w:pPr>
              <w:pStyle w:val="TableContents"/>
              <w:bidi w:val="0"/>
              <w:spacing w:before="0" w:after="283"/>
              <w:jc w:val="left"/>
              <w:rPr/>
            </w:pPr>
            <w:r>
              <w:rPr/>
              <w:t>Total stockholders’ equity</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150,970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151,812</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1" w:type="dxa"/>
            <w:tcBorders>
              <w:bottom w:val="single" w:sz="12" w:space="0" w:color="000000"/>
            </w:tcBorders>
            <w:shd w:fill="CCEEFF" w:val="clear"/>
            <w:tcMar>
              <w:bottom w:w="28" w:type="dxa"/>
            </w:tcMar>
            <w:vAlign w:val="center"/>
          </w:tcPr>
          <w:p>
            <w:pPr>
              <w:pStyle w:val="TableContents"/>
              <w:bidi w:val="0"/>
              <w:spacing w:before="0" w:after="283"/>
              <w:jc w:val="right"/>
              <w:rPr/>
            </w:pPr>
            <w:r>
              <w:rPr/>
              <w:t>(822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(656</w:t>
            </w:r>
          </w:p>
        </w:tc>
        <w:tc>
          <w:tcPr>
            <w:tcW w:w="90" w:type="dxa"/>
            <w:tcBorders/>
            <w:shd w:fill="CCEEFF" w:val="clear"/>
            <w:vAlign w:val="center"/>
          </w:tcPr>
          <w:p>
            <w:pPr>
              <w:pStyle w:val="TableContents"/>
              <w:bidi w:val="0"/>
              <w:spacing w:before="0" w:after="283"/>
              <w:ind w:left="0" w:right="0" w:hanging="180"/>
              <w:jc w:val="left"/>
              <w:rPr/>
            </w:pPr>
            <w:r>
              <w:rPr/>
              <w:t>)</w:t>
            </w:r>
          </w:p>
        </w:tc>
      </w:tr>
      <w:tr>
        <w:trPr/>
        <w:tc>
          <w:tcPr>
            <w:tcW w:w="7492" w:type="dxa"/>
            <w:tcBorders/>
            <w:vAlign w:val="center"/>
          </w:tcPr>
          <w:p>
            <w:pPr>
              <w:pStyle w:val="TableContents"/>
              <w:bidi w:val="0"/>
              <w:spacing w:before="0" w:after="283"/>
              <w:jc w:val="left"/>
              <w:rPr/>
            </w:pPr>
            <w:r>
              <w:rPr/>
              <w:t>Total equity</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150,148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151,156</w:t>
            </w:r>
          </w:p>
        </w:tc>
        <w:tc>
          <w:tcPr>
            <w:tcW w:w="90" w:type="dxa"/>
            <w:tcBorders/>
            <w:vAlign w:val="center"/>
          </w:tcPr>
          <w:p>
            <w:pPr>
              <w:pStyle w:val="TableContents"/>
              <w:bidi w:val="0"/>
              <w:spacing w:before="0" w:after="283"/>
              <w:ind w:left="0" w:right="0" w:hanging="180"/>
              <w:jc w:val="left"/>
              <w:rPr/>
            </w:pPr>
            <w:r>
              <w:rPr/>
              <w:t> </w:t>
            </w:r>
          </w:p>
        </w:tc>
      </w:tr>
      <w:tr>
        <w:trPr/>
        <w:tc>
          <w:tcPr>
            <w:tcW w:w="7492" w:type="dxa"/>
            <w:tcBorders/>
            <w:shd w:fill="CCEEFF" w:val="clear"/>
            <w:vAlign w:val="center"/>
          </w:tcPr>
          <w:p>
            <w:pPr>
              <w:pStyle w:val="TableContents"/>
              <w:bidi w:val="0"/>
              <w:spacing w:before="0" w:after="283"/>
              <w:jc w:val="left"/>
              <w:rPr/>
            </w:pPr>
            <w:r>
              <w:rPr/>
              <w:t>Total liabilities and equity</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1" w:type="dxa"/>
            <w:tcBorders>
              <w:bottom w:val="double" w:sz="10" w:space="0" w:color="000000"/>
            </w:tcBorders>
            <w:shd w:fill="CCEEFF" w:val="clear"/>
            <w:tcMar>
              <w:bottom w:w="28" w:type="dxa"/>
            </w:tcMar>
            <w:vAlign w:val="center"/>
          </w:tcPr>
          <w:p>
            <w:pPr>
              <w:pStyle w:val="TableContents"/>
              <w:bidi w:val="0"/>
              <w:spacing w:before="0" w:after="283"/>
              <w:jc w:val="right"/>
              <w:rPr/>
            </w:pPr>
            <w:r>
              <w:rPr/>
              <w:t>159,780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double" w:sz="10" w:space="0" w:color="000000"/>
            </w:tcBorders>
            <w:shd w:fill="CCEEFF" w:val="clear"/>
            <w:tcMar>
              <w:bottom w:w="28" w:type="dxa"/>
            </w:tcMar>
            <w:vAlign w:val="center"/>
          </w:tcPr>
          <w:p>
            <w:pPr>
              <w:pStyle w:val="TableContents"/>
              <w:bidi w:val="0"/>
              <w:spacing w:before="0" w:after="283"/>
              <w:jc w:val="right"/>
              <w:rPr/>
            </w:pPr>
            <w:r>
              <w:rPr/>
              <w:t>161,642</w:t>
            </w:r>
          </w:p>
        </w:tc>
        <w:tc>
          <w:tcPr>
            <w:tcW w:w="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fin_002"/>
      <w:bookmarkEnd w:id="5"/>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CONDENSED CONSOLIDATED STATEMENTS OF COMPREHENSIVE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70"/>
        <w:gridCol w:w="60"/>
        <w:gridCol w:w="140"/>
        <w:gridCol w:w="1100"/>
        <w:gridCol w:w="60"/>
        <w:gridCol w:w="60"/>
        <w:gridCol w:w="140"/>
        <w:gridCol w:w="1100"/>
        <w:gridCol w:w="75"/>
      </w:tblGrid>
      <w:tr>
        <w:trPr/>
        <w:tc>
          <w:tcPr>
            <w:tcW w:w="7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pPr>
            <w:r>
              <w:rPr/>
              <w:t> </w:t>
            </w:r>
          </w:p>
        </w:tc>
      </w:tr>
      <w:tr>
        <w:trPr/>
        <w:tc>
          <w:tcPr>
            <w:tcW w:w="7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ind w:left="0" w:right="0" w:hanging="180"/>
              <w:jc w:val="left"/>
              <w:rPr/>
            </w:pPr>
            <w:r>
              <w:rPr/>
              <w:t> </w:t>
            </w:r>
          </w:p>
        </w:tc>
      </w:tr>
      <w:tr>
        <w:trPr/>
        <w:tc>
          <w:tcPr>
            <w:tcW w:w="747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470" w:type="dxa"/>
            <w:tcBorders/>
            <w:vAlign w:val="center"/>
          </w:tcPr>
          <w:p>
            <w:pPr>
              <w:pStyle w:val="TableContents"/>
              <w:bidi w:val="0"/>
              <w:spacing w:before="0" w:after="283"/>
              <w:jc w:val="left"/>
              <w:rPr>
                <w:b/>
              </w:rPr>
            </w:pPr>
            <w:r>
              <w:rPr>
                <w:b/>
              </w:rPr>
              <w:t>RESEARCH AND DEVELOPMENT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5,836</w:t>
            </w:r>
          </w:p>
        </w:tc>
        <w:tc>
          <w:tcPr>
            <w:tcW w:w="75" w:type="dxa"/>
            <w:tcBorders/>
            <w:vAlign w:val="center"/>
          </w:tcPr>
          <w:p>
            <w:pPr>
              <w:pStyle w:val="TableContents"/>
              <w:bidi w:val="0"/>
              <w:spacing w:before="0" w:after="283"/>
              <w:ind w:left="0" w:right="0" w:hanging="180"/>
              <w:jc w:val="left"/>
              <w:rPr/>
            </w:pPr>
            <w:r>
              <w:rPr/>
              <w:t> </w:t>
            </w:r>
          </w:p>
        </w:tc>
      </w:tr>
      <w:tr>
        <w:trPr/>
        <w:tc>
          <w:tcPr>
            <w:tcW w:w="7470" w:type="dxa"/>
            <w:tcBorders/>
            <w:shd w:fill="CCEEFF" w:val="clear"/>
            <w:vAlign w:val="center"/>
          </w:tcPr>
          <w:p>
            <w:pPr>
              <w:pStyle w:val="TableContents"/>
              <w:bidi w:val="0"/>
              <w:spacing w:before="0" w:after="283"/>
              <w:jc w:val="left"/>
              <w:rPr>
                <w:b/>
              </w:rPr>
            </w:pPr>
            <w:r>
              <w:rPr>
                <w:b/>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470" w:type="dxa"/>
            <w:tcBorders/>
            <w:vAlign w:val="center"/>
          </w:tcPr>
          <w:p>
            <w:pPr>
              <w:pStyle w:val="TableContents"/>
              <w:bidi w:val="0"/>
              <w:spacing w:before="0" w:after="283"/>
              <w:jc w:val="left"/>
              <w:rPr>
                <w:b/>
              </w:rPr>
            </w:pPr>
            <w:r>
              <w:rPr>
                <w:b/>
              </w:rPr>
              <w:t>GENERAL AND ADMINISTRATIVE EXPENSES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1,263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5,492</w:t>
            </w:r>
          </w:p>
        </w:tc>
        <w:tc>
          <w:tcPr>
            <w:tcW w:w="75" w:type="dxa"/>
            <w:tcBorders/>
            <w:vAlign w:val="center"/>
          </w:tcPr>
          <w:p>
            <w:pPr>
              <w:pStyle w:val="TableContents"/>
              <w:bidi w:val="0"/>
              <w:spacing w:before="0" w:after="283"/>
              <w:ind w:left="0" w:right="0" w:hanging="180"/>
              <w:jc w:val="left"/>
              <w:rPr/>
            </w:pPr>
            <w:r>
              <w:rPr/>
              <w:t> </w:t>
            </w:r>
          </w:p>
        </w:tc>
      </w:tr>
      <w:tr>
        <w:trPr/>
        <w:tc>
          <w:tcPr>
            <w:tcW w:w="747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11,252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7470" w:type="dxa"/>
            <w:tcBorders/>
            <w:shd w:fill="CCEEFF" w:val="clear"/>
            <w:vAlign w:val="center"/>
          </w:tcPr>
          <w:p>
            <w:pPr>
              <w:pStyle w:val="TableContents"/>
              <w:bidi w:val="0"/>
              <w:spacing w:before="0" w:after="283"/>
              <w:jc w:val="left"/>
              <w:rPr>
                <w:b/>
              </w:rPr>
            </w:pPr>
            <w:r>
              <w:rPr>
                <w:b/>
              </w:rPr>
              <w:t>FINANCIAL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470" w:type="dxa"/>
            <w:tcBorders/>
            <w:vAlign w:val="center"/>
          </w:tcPr>
          <w:p>
            <w:pPr>
              <w:pStyle w:val="TableContents"/>
              <w:bidi w:val="0"/>
              <w:spacing w:before="0" w:after="283"/>
              <w:jc w:val="left"/>
              <w:rPr>
                <w:b/>
              </w:rPr>
            </w:pPr>
            <w:r>
              <w:rPr>
                <w:b/>
              </w:rPr>
              <w:t>NET LOSS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3,611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10,708</w:t>
            </w:r>
          </w:p>
        </w:tc>
        <w:tc>
          <w:tcPr>
            <w:tcW w:w="75" w:type="dxa"/>
            <w:tcBorders/>
            <w:vAlign w:val="center"/>
          </w:tcPr>
          <w:p>
            <w:pPr>
              <w:pStyle w:val="TableContents"/>
              <w:bidi w:val="0"/>
              <w:spacing w:before="0" w:after="283"/>
              <w:ind w:left="0" w:right="0" w:hanging="180"/>
              <w:jc w:val="left"/>
              <w:rPr/>
            </w:pPr>
            <w:r>
              <w:rPr/>
              <w:t> </w:t>
            </w:r>
          </w:p>
        </w:tc>
      </w:tr>
      <w:tr>
        <w:trPr/>
        <w:tc>
          <w:tcPr>
            <w:tcW w:w="7470" w:type="dxa"/>
            <w:tcBorders/>
            <w:shd w:fill="CCEEFF" w:val="clear"/>
            <w:vAlign w:val="center"/>
          </w:tcPr>
          <w:p>
            <w:pPr>
              <w:pStyle w:val="TableContents"/>
              <w:bidi w:val="0"/>
              <w:spacing w:before="0" w:after="283"/>
              <w:jc w:val="left"/>
              <w:rPr>
                <w:b/>
              </w:rPr>
            </w:pPr>
            <w:r>
              <w:rPr>
                <w:b/>
              </w:rPr>
              <w:t>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470" w:type="dxa"/>
            <w:tcBorders/>
            <w:vAlign w:val="center"/>
          </w:tcPr>
          <w:p>
            <w:pPr>
              <w:pStyle w:val="TableContents"/>
              <w:bidi w:val="0"/>
              <w:spacing w:before="0" w:after="283"/>
              <w:jc w:val="left"/>
              <w:rPr>
                <w:b/>
              </w:rPr>
            </w:pPr>
            <w:r>
              <w:rPr>
                <w:b/>
              </w:rPr>
              <w:t>NET LOSS ATTRIBUTABLE TO STOCKHOLDERS</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3,395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10,425</w:t>
            </w:r>
          </w:p>
        </w:tc>
        <w:tc>
          <w:tcPr>
            <w:tcW w:w="75" w:type="dxa"/>
            <w:tcBorders/>
            <w:vAlign w:val="center"/>
          </w:tcPr>
          <w:p>
            <w:pPr>
              <w:pStyle w:val="TableContents"/>
              <w:bidi w:val="0"/>
              <w:spacing w:before="0" w:after="283"/>
              <w:jc w:val="left"/>
              <w:rPr/>
            </w:pPr>
            <w:r>
              <w:rPr/>
              <w:t> </w:t>
            </w:r>
          </w:p>
        </w:tc>
      </w:tr>
      <w:tr>
        <w:trPr/>
        <w:tc>
          <w:tcPr>
            <w:tcW w:w="7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470" w:type="dxa"/>
            <w:tcBorders/>
            <w:vAlign w:val="center"/>
          </w:tcPr>
          <w:p>
            <w:pPr>
              <w:pStyle w:val="TableContents"/>
              <w:bidi w:val="0"/>
              <w:spacing w:before="0" w:after="0"/>
              <w:jc w:val="left"/>
              <w:rPr>
                <w:b/>
              </w:rPr>
            </w:pPr>
            <w:r>
              <w:rPr>
                <w:b/>
              </w:rPr>
              <w:t>BASIC AND DILUTED LOSS PER SHARE OF COMMON STOCK</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0.08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0.27</w:t>
            </w:r>
          </w:p>
        </w:tc>
        <w:tc>
          <w:tcPr>
            <w:tcW w:w="75" w:type="dxa"/>
            <w:tcBorders/>
            <w:vAlign w:val="center"/>
          </w:tcPr>
          <w:p>
            <w:pPr>
              <w:pStyle w:val="TableContents"/>
              <w:bidi w:val="0"/>
              <w:spacing w:before="0" w:after="283"/>
              <w:ind w:left="0" w:right="0" w:hanging="180"/>
              <w:jc w:val="left"/>
              <w:rPr/>
            </w:pPr>
            <w:r>
              <w:rPr/>
              <w:t> </w:t>
            </w:r>
          </w:p>
        </w:tc>
      </w:tr>
      <w:tr>
        <w:trPr/>
        <w:tc>
          <w:tcPr>
            <w:tcW w:w="7470" w:type="dxa"/>
            <w:tcBorders/>
            <w:shd w:fill="CCEEFF" w:val="clear"/>
            <w:vAlign w:val="center"/>
          </w:tcPr>
          <w:p>
            <w:pPr>
              <w:pStyle w:val="TableContents"/>
              <w:bidi w:val="0"/>
              <w:spacing w:before="0" w:after="0"/>
              <w:jc w:val="left"/>
              <w:rPr>
                <w:b/>
              </w:rPr>
            </w:pPr>
            <w:r>
              <w:rPr>
                <w:b/>
              </w:rPr>
              <w:t>WEIGHTED AVERAGE NUMBER OF SHARES OF COMMON STOCK USED IN COMPUTING BASIC AND DILUTED LOSS PER SHARE OF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40,041,258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38,679,622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fin_003"/>
      <w:bookmarkEnd w:id="6"/>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CONDENSED CONSOLIDATED STATEMENTS OF CHANGES IN STOCKHOLDERS’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21"/>
        <w:gridCol w:w="60"/>
        <w:gridCol w:w="76"/>
        <w:gridCol w:w="763"/>
        <w:gridCol w:w="79"/>
        <w:gridCol w:w="60"/>
        <w:gridCol w:w="127"/>
        <w:gridCol w:w="340"/>
        <w:gridCol w:w="60"/>
        <w:gridCol w:w="60"/>
        <w:gridCol w:w="140"/>
        <w:gridCol w:w="780"/>
        <w:gridCol w:w="60"/>
        <w:gridCol w:w="60"/>
        <w:gridCol w:w="160"/>
        <w:gridCol w:w="970"/>
        <w:gridCol w:w="80"/>
        <w:gridCol w:w="60"/>
        <w:gridCol w:w="167"/>
        <w:gridCol w:w="933"/>
        <w:gridCol w:w="80"/>
        <w:gridCol w:w="60"/>
        <w:gridCol w:w="231"/>
        <w:gridCol w:w="734"/>
        <w:gridCol w:w="80"/>
        <w:gridCol w:w="60"/>
        <w:gridCol w:w="125"/>
        <w:gridCol w:w="695"/>
        <w:gridCol w:w="84"/>
      </w:tblGrid>
      <w:tr>
        <w:trPr/>
        <w:tc>
          <w:tcPr>
            <w:tcW w:w="30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stockholders’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w:t>
              <w:br/>
              <w:t>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84" w:type="dxa"/>
            <w:tcBorders/>
            <w:vAlign w:val="center"/>
          </w:tcPr>
          <w:p>
            <w:pPr>
              <w:pStyle w:val="TableContents"/>
              <w:bidi w:val="0"/>
              <w:spacing w:before="0" w:after="283"/>
              <w:jc w:val="left"/>
              <w:rPr/>
            </w:pPr>
            <w:r>
              <w:rPr/>
              <w:t> </w:t>
            </w:r>
          </w:p>
        </w:tc>
      </w:tr>
      <w:tr>
        <w:trPr/>
        <w:tc>
          <w:tcPr>
            <w:tcW w:w="30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4" w:type="dxa"/>
            <w:tcBorders/>
            <w:vAlign w:val="center"/>
          </w:tcPr>
          <w:p>
            <w:pPr>
              <w:pStyle w:val="TableContents"/>
              <w:bidi w:val="0"/>
              <w:spacing w:before="0" w:after="283"/>
              <w:jc w:val="left"/>
              <w:rPr/>
            </w:pPr>
            <w:r>
              <w:rPr/>
              <w:t> </w:t>
            </w:r>
          </w:p>
        </w:tc>
      </w:tr>
      <w:tr>
        <w:trPr/>
        <w:tc>
          <w:tcPr>
            <w:tcW w:w="30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8" w:type="dxa"/>
            <w:gridSpan w:val="3"/>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60" w:type="dxa"/>
            <w:tcBorders/>
            <w:vAlign w:val="center"/>
          </w:tcPr>
          <w:p>
            <w:pPr>
              <w:pStyle w:val="TableContents"/>
              <w:bidi w:val="0"/>
              <w:spacing w:before="0" w:after="283"/>
              <w:jc w:val="left"/>
              <w:rPr/>
            </w:pPr>
            <w:r>
              <w:rPr/>
              <w:t> </w:t>
            </w:r>
          </w:p>
        </w:tc>
        <w:tc>
          <w:tcPr>
            <w:tcW w:w="467"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302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DECEMBER 31, 2022</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39,564</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(163,081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151,812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151,156</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302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DURING THE THREE MONTH PERIOD ENDED MARCH 31, 2023:</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302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ISSUANCE OF COMMON STOCK, NET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302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STOCK-BASED COMPENSATION</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c>
          <w:tcPr>
            <w:tcW w:w="84" w:type="dxa"/>
            <w:tcBorders/>
            <w:vAlign w:val="center"/>
          </w:tcPr>
          <w:p>
            <w:pPr>
              <w:pStyle w:val="TableContents"/>
              <w:bidi w:val="0"/>
              <w:spacing w:before="0" w:after="283"/>
              <w:ind w:left="0" w:right="0" w:hanging="180"/>
              <w:jc w:val="left"/>
              <w:rPr/>
            </w:pPr>
            <w:r>
              <w:rPr/>
              <w:t> </w:t>
            </w:r>
          </w:p>
        </w:tc>
      </w:tr>
      <w:tr>
        <w:trPr/>
        <w:tc>
          <w:tcPr>
            <w:tcW w:w="302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STOCK-BASED COMPENSATION OF SUBSIDIARY</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0"/>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0"/>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302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LOSS</w:t>
            </w:r>
          </w:p>
        </w:tc>
        <w:tc>
          <w:tcPr>
            <w:tcW w:w="60" w:type="dxa"/>
            <w:tcBorders/>
            <w:vAlign w:val="center"/>
          </w:tcPr>
          <w:p>
            <w:pPr>
              <w:pStyle w:val="TableContents"/>
              <w:bidi w:val="0"/>
              <w:spacing w:before="0" w:after="283"/>
              <w:jc w:val="left"/>
              <w:rPr/>
            </w:pPr>
            <w:r>
              <w:rPr/>
              <w:t> </w:t>
            </w:r>
          </w:p>
        </w:tc>
        <w:tc>
          <w:tcPr>
            <w:tcW w:w="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bottom w:val="single" w:sz="12" w:space="0" w:color="000000"/>
            </w:tcBorders>
            <w:tcMar>
              <w:bottom w:w="28" w:type="dxa"/>
            </w:tcMar>
            <w:vAlign w:val="center"/>
          </w:tcPr>
          <w:p>
            <w:pPr>
              <w:pStyle w:val="TableContents"/>
              <w:bidi w:val="0"/>
              <w:spacing w:before="0" w:after="283"/>
              <w:jc w:val="left"/>
              <w:rPr/>
            </w:pPr>
            <w:r>
              <w:rPr/>
              <w:t> </w:t>
            </w:r>
          </w:p>
        </w:tc>
        <w:tc>
          <w:tcPr>
            <w:tcW w:w="34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(3,395</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67" w:type="dxa"/>
            <w:tcBorders>
              <w:bottom w:val="single" w:sz="12" w:space="0" w:color="000000"/>
            </w:tcBorders>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(3,395</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c>
          <w:tcPr>
            <w:tcW w:w="73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(3,611</w:t>
            </w:r>
          </w:p>
        </w:tc>
        <w:tc>
          <w:tcPr>
            <w:tcW w:w="84"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02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MARCH 31, 2023</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39,970</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(166,476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10" w:space="0" w:color="000000"/>
            </w:tcBorders>
            <w:shd w:fill="CCEEFF" w:val="clear"/>
            <w:tcMar>
              <w:bottom w:w="28" w:type="dxa"/>
            </w:tcMar>
            <w:vAlign w:val="center"/>
          </w:tcPr>
          <w:p>
            <w:pPr>
              <w:pStyle w:val="TableContents"/>
              <w:bidi w:val="0"/>
              <w:spacing w:before="0" w:after="283"/>
              <w:jc w:val="right"/>
              <w:rPr/>
            </w:pPr>
            <w:r>
              <w:rPr/>
              <w:t>150, 970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150,148</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410" w:type="dxa"/>
        <w:jc w:val="left"/>
        <w:tblInd w:w="0" w:type="dxa"/>
        <w:tblLayout w:type="fixed"/>
        <w:tblCellMar>
          <w:top w:w="0" w:type="dxa"/>
          <w:left w:w="0" w:type="dxa"/>
          <w:bottom w:w="0" w:type="dxa"/>
          <w:right w:w="0" w:type="dxa"/>
        </w:tblCellMar>
      </w:tblPr>
      <w:tblGrid>
        <w:gridCol w:w="2045"/>
        <w:gridCol w:w="60"/>
        <w:gridCol w:w="79"/>
        <w:gridCol w:w="896"/>
        <w:gridCol w:w="80"/>
        <w:gridCol w:w="60"/>
        <w:gridCol w:w="140"/>
        <w:gridCol w:w="380"/>
        <w:gridCol w:w="95"/>
        <w:gridCol w:w="60"/>
        <w:gridCol w:w="163"/>
        <w:gridCol w:w="937"/>
        <w:gridCol w:w="95"/>
        <w:gridCol w:w="60"/>
        <w:gridCol w:w="188"/>
        <w:gridCol w:w="1182"/>
        <w:gridCol w:w="95"/>
        <w:gridCol w:w="60"/>
        <w:gridCol w:w="192"/>
        <w:gridCol w:w="1103"/>
        <w:gridCol w:w="95"/>
        <w:gridCol w:w="60"/>
        <w:gridCol w:w="262"/>
        <w:gridCol w:w="853"/>
        <w:gridCol w:w="95"/>
        <w:gridCol w:w="60"/>
        <w:gridCol w:w="140"/>
        <w:gridCol w:w="800"/>
        <w:gridCol w:w="75"/>
      </w:tblGrid>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rPr>
            </w:pPr>
            <w:r>
              <w:rPr>
                <w:b/>
              </w:rPr>
              <w:t>Total</w:t>
              <w:br/>
              <w:t>stockholders’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Non-</w:t>
              <w:br/>
              <w:t>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5" w:type="dxa"/>
            <w:gridSpan w:val="3"/>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2045" w:type="dxa"/>
            <w:tcBorders/>
            <w:shd w:fill="CCEEFF" w:val="clear"/>
            <w:vAlign w:val="center"/>
          </w:tcPr>
          <w:p>
            <w:pPr>
              <w:pStyle w:val="TableContents"/>
              <w:bidi w:val="0"/>
              <w:spacing w:before="0" w:after="283"/>
              <w:jc w:val="left"/>
              <w:rPr>
                <w:b/>
              </w:rPr>
            </w:pPr>
            <w:r>
              <w:rPr>
                <w:b/>
              </w:rPr>
              <w:t>BALANCE AS OF DECEMBER 31, 2021</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38,158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292,514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(126,520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166,453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166,610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045" w:type="dxa"/>
            <w:tcBorders/>
            <w:vAlign w:val="center"/>
          </w:tcPr>
          <w:p>
            <w:pPr>
              <w:pStyle w:val="TableContents"/>
              <w:bidi w:val="0"/>
              <w:spacing w:before="0" w:after="283"/>
              <w:jc w:val="left"/>
              <w:rPr>
                <w:b/>
              </w:rPr>
            </w:pPr>
            <w:r>
              <w:rPr>
                <w:b/>
              </w:rPr>
              <w:t>CHANGES DURING THE THREE MONTH PERIOD ENDED MARCH 31, 2022:</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2045" w:type="dxa"/>
            <w:tcBorders/>
            <w:shd w:fill="CCEEFF" w:val="clear"/>
            <w:vAlign w:val="center"/>
          </w:tcPr>
          <w:p>
            <w:pPr>
              <w:pStyle w:val="TableContents"/>
              <w:bidi w:val="0"/>
              <w:spacing w:before="0" w:after="283"/>
              <w:jc w:val="left"/>
              <w:rPr>
                <w:b/>
              </w:rPr>
            </w:pPr>
            <w:r>
              <w:rPr>
                <w:b/>
              </w:rPr>
              <w:t>ISSUANCE OF COMMON STOCK, NET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277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2,969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045" w:type="dxa"/>
            <w:tcBorders/>
            <w:vAlign w:val="center"/>
          </w:tcPr>
          <w:p>
            <w:pPr>
              <w:pStyle w:val="TableContents"/>
              <w:bidi w:val="0"/>
              <w:spacing w:before="0" w:after="283"/>
              <w:jc w:val="left"/>
              <w:rPr>
                <w:b/>
              </w:rPr>
            </w:pPr>
            <w:r>
              <w:rPr>
                <w:b/>
              </w:rPr>
              <w:t>EXERCISE OF WARRANTS AND OPTIONS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ind w:left="0" w:right="0" w:hanging="180"/>
              <w:jc w:val="left"/>
              <w:rPr/>
            </w:pPr>
            <w:r>
              <w:rPr/>
              <w:t> </w:t>
            </w:r>
          </w:p>
        </w:tc>
      </w:tr>
      <w:tr>
        <w:trPr/>
        <w:tc>
          <w:tcPr>
            <w:tcW w:w="2045" w:type="dxa"/>
            <w:tcBorders/>
            <w:shd w:fill="CCEEFF" w:val="clear"/>
            <w:vAlign w:val="center"/>
          </w:tcPr>
          <w:p>
            <w:pPr>
              <w:pStyle w:val="TableContents"/>
              <w:bidi w:val="0"/>
              <w:spacing w:before="0" w:after="283"/>
              <w:jc w:val="left"/>
              <w:rPr>
                <w:b/>
              </w:rPr>
            </w:pPr>
            <w:r>
              <w:rPr>
                <w:b/>
              </w:rPr>
              <w:t>STOCK-BASED COMPENSATION</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4,029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4,029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045" w:type="dxa"/>
            <w:tcBorders/>
            <w:vAlign w:val="center"/>
          </w:tcPr>
          <w:p>
            <w:pPr>
              <w:pStyle w:val="TableContents"/>
              <w:bidi w:val="0"/>
              <w:spacing w:before="0" w:after="283"/>
              <w:jc w:val="left"/>
              <w:rPr>
                <w:b/>
              </w:rPr>
            </w:pPr>
            <w:r>
              <w:rPr>
                <w:b/>
              </w:rPr>
              <w:t>TAX WITHHOLDINGS RELATED TO STOCK-BASED COMPENSATION SETTLEMENTS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(677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right"/>
              <w:rPr/>
            </w:pPr>
            <w:r>
              <w:rPr/>
              <w:t>(677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(677</w:t>
            </w:r>
          </w:p>
        </w:tc>
        <w:tc>
          <w:tcPr>
            <w:tcW w:w="75" w:type="dxa"/>
            <w:tcBorders/>
            <w:vAlign w:val="center"/>
          </w:tcPr>
          <w:p>
            <w:pPr>
              <w:pStyle w:val="TableContents"/>
              <w:bidi w:val="0"/>
              <w:spacing w:before="0" w:after="283"/>
              <w:ind w:left="0" w:right="0" w:hanging="180"/>
              <w:jc w:val="left"/>
              <w:rPr/>
            </w:pPr>
            <w:r>
              <w:rPr/>
              <w:t>)</w:t>
            </w:r>
          </w:p>
        </w:tc>
      </w:tr>
      <w:tr>
        <w:trPr/>
        <w:tc>
          <w:tcPr>
            <w:tcW w:w="204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(10,425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(10,425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(283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(10,708</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2045" w:type="dxa"/>
            <w:tcBorders/>
            <w:vAlign w:val="center"/>
          </w:tcPr>
          <w:p>
            <w:pPr>
              <w:pStyle w:val="TableContents"/>
              <w:bidi w:val="0"/>
              <w:spacing w:before="0" w:after="283"/>
              <w:jc w:val="left"/>
              <w:rPr>
                <w:b/>
              </w:rPr>
            </w:pPr>
            <w:r>
              <w:rPr>
                <w:b/>
              </w:rPr>
              <w:t>BALANCE AS OF MARCH 31, 2022</w:t>
            </w:r>
          </w:p>
        </w:tc>
        <w:tc>
          <w:tcPr>
            <w:tcW w:w="60" w:type="dxa"/>
            <w:tcBorders/>
            <w:vAlign w:val="center"/>
          </w:tcPr>
          <w:p>
            <w:pPr>
              <w:pStyle w:val="TableContents"/>
              <w:bidi w:val="0"/>
              <w:spacing w:before="0" w:after="283"/>
              <w:jc w:val="left"/>
              <w:rPr/>
            </w:pPr>
            <w:r>
              <w:rPr/>
              <w:t> </w:t>
            </w:r>
          </w:p>
        </w:tc>
        <w:tc>
          <w:tcPr>
            <w:tcW w:w="79" w:type="dxa"/>
            <w:tcBorders>
              <w:bottom w:val="double" w:sz="10" w:space="0" w:color="000000"/>
            </w:tcBorders>
            <w:tcMar>
              <w:bottom w:w="28" w:type="dxa"/>
            </w:tcMar>
            <w:vAlign w:val="center"/>
          </w:tcPr>
          <w:p>
            <w:pPr>
              <w:pStyle w:val="TableContents"/>
              <w:bidi w:val="0"/>
              <w:spacing w:before="0" w:after="283"/>
              <w:jc w:val="left"/>
              <w:rPr/>
            </w:pPr>
            <w:r>
              <w:rPr/>
              <w:t> </w:t>
            </w:r>
          </w:p>
        </w:tc>
        <w:tc>
          <w:tcPr>
            <w:tcW w:w="896" w:type="dxa"/>
            <w:tcBorders>
              <w:bottom w:val="double" w:sz="10" w:space="0" w:color="000000"/>
            </w:tcBorders>
            <w:tcMar>
              <w:bottom w:w="28" w:type="dxa"/>
            </w:tcMar>
            <w:vAlign w:val="center"/>
          </w:tcPr>
          <w:p>
            <w:pPr>
              <w:pStyle w:val="TableContents"/>
              <w:bidi w:val="0"/>
              <w:spacing w:before="0" w:after="283"/>
              <w:jc w:val="right"/>
              <w:rPr/>
            </w:pPr>
            <w:r>
              <w:rPr/>
              <w:t>38,564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380" w:type="dxa"/>
            <w:tcBorders>
              <w:bottom w:val="double" w:sz="10" w:space="0" w:color="000000"/>
            </w:tcBorders>
            <w:tcMar>
              <w:bottom w:w="28" w:type="dxa"/>
            </w:tcMar>
            <w:vAlign w:val="center"/>
          </w:tcPr>
          <w:p>
            <w:pPr>
              <w:pStyle w:val="TableContents"/>
              <w:bidi w:val="0"/>
              <w:spacing w:before="0" w:after="283"/>
              <w:jc w:val="right"/>
              <w:rPr/>
            </w:pPr>
            <w:r>
              <w:rPr/>
              <w:t>463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double" w:sz="10" w:space="0" w:color="000000"/>
            </w:tcBorders>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tcMar>
              <w:bottom w:w="28" w:type="dxa"/>
            </w:tcMar>
            <w:vAlign w:val="center"/>
          </w:tcPr>
          <w:p>
            <w:pPr>
              <w:pStyle w:val="TableContents"/>
              <w:bidi w:val="0"/>
              <w:spacing w:before="0" w:after="283"/>
              <w:jc w:val="right"/>
              <w:rPr/>
            </w:pPr>
            <w:r>
              <w:rPr/>
              <w:t>298,831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tcMar>
              <w:bottom w:w="28" w:type="dxa"/>
            </w:tcMar>
            <w:vAlign w:val="center"/>
          </w:tcPr>
          <w:p>
            <w:pPr>
              <w:pStyle w:val="TableContents"/>
              <w:bidi w:val="0"/>
              <w:spacing w:before="0" w:after="283"/>
              <w:jc w:val="right"/>
              <w:rPr/>
            </w:pPr>
            <w:r>
              <w:rPr/>
              <w:t>(136,945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pPr>
            <w:r>
              <w:rPr/>
              <w:t>$</w:t>
            </w:r>
          </w:p>
        </w:tc>
        <w:tc>
          <w:tcPr>
            <w:tcW w:w="1103" w:type="dxa"/>
            <w:tcBorders>
              <w:bottom w:val="double" w:sz="10" w:space="0" w:color="000000"/>
            </w:tcBorders>
            <w:tcMar>
              <w:bottom w:w="28" w:type="dxa"/>
            </w:tcMar>
            <w:vAlign w:val="center"/>
          </w:tcPr>
          <w:p>
            <w:pPr>
              <w:pStyle w:val="TableContents"/>
              <w:bidi w:val="0"/>
              <w:spacing w:before="0" w:after="283"/>
              <w:jc w:val="right"/>
              <w:rPr/>
            </w:pPr>
            <w:r>
              <w:rPr/>
              <w:t>162,349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 w:type="dxa"/>
            <w:tcBorders>
              <w:bottom w:val="double" w:sz="10" w:space="0" w:color="000000"/>
            </w:tcBorders>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tcMar>
              <w:bottom w:w="28" w:type="dxa"/>
            </w:tcMar>
            <w:vAlign w:val="center"/>
          </w:tcPr>
          <w:p>
            <w:pPr>
              <w:pStyle w:val="TableContents"/>
              <w:bidi w:val="0"/>
              <w:spacing w:before="0" w:after="283"/>
              <w:jc w:val="right"/>
              <w:rPr/>
            </w:pPr>
            <w:r>
              <w:rPr/>
              <w:t>(126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162,223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260"/>
        <w:gridCol w:w="308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an amount of less than $1.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fin_004"/>
      <w:bookmarkEnd w:id="7"/>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48"/>
        <w:gridCol w:w="60"/>
        <w:gridCol w:w="149"/>
        <w:gridCol w:w="810"/>
        <w:gridCol w:w="101"/>
        <w:gridCol w:w="64"/>
        <w:gridCol w:w="149"/>
        <w:gridCol w:w="810"/>
        <w:gridCol w:w="114"/>
      </w:tblGrid>
      <w:tr>
        <w:trPr/>
        <w:tc>
          <w:tcPr>
            <w:tcW w:w="7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3" w:type="dxa"/>
            <w:gridSpan w:val="6"/>
            <w:tcBorders/>
            <w:vAlign w:val="center"/>
          </w:tcPr>
          <w:p>
            <w:pPr>
              <w:pStyle w:val="TableContents"/>
              <w:bidi w:val="0"/>
              <w:spacing w:before="0" w:after="283"/>
              <w:jc w:val="center"/>
              <w:rPr>
                <w:b/>
              </w:rPr>
            </w:pPr>
            <w:r>
              <w:rPr>
                <w:b/>
              </w:rPr>
              <w:t>Three months ended</w:t>
            </w:r>
          </w:p>
        </w:tc>
        <w:tc>
          <w:tcPr>
            <w:tcW w:w="114" w:type="dxa"/>
            <w:tcBorders/>
            <w:vAlign w:val="center"/>
          </w:tcPr>
          <w:p>
            <w:pPr>
              <w:pStyle w:val="TableContents"/>
              <w:bidi w:val="0"/>
              <w:spacing w:before="0" w:after="283"/>
              <w:jc w:val="left"/>
              <w:rPr/>
            </w:pPr>
            <w:r>
              <w:rPr/>
              <w:t> </w:t>
            </w:r>
          </w:p>
        </w:tc>
      </w:tr>
      <w:tr>
        <w:trPr/>
        <w:tc>
          <w:tcPr>
            <w:tcW w:w="7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w:t>
            </w:r>
          </w:p>
        </w:tc>
        <w:tc>
          <w:tcPr>
            <w:tcW w:w="114" w:type="dxa"/>
            <w:tcBorders/>
            <w:vAlign w:val="center"/>
          </w:tcPr>
          <w:p>
            <w:pPr>
              <w:pStyle w:val="TableContents"/>
              <w:bidi w:val="0"/>
              <w:spacing w:before="0" w:after="283"/>
              <w:jc w:val="left"/>
              <w:rPr/>
            </w:pPr>
            <w:r>
              <w:rPr/>
              <w:t> </w:t>
            </w:r>
          </w:p>
        </w:tc>
      </w:tr>
      <w:tr>
        <w:trPr/>
        <w:tc>
          <w:tcPr>
            <w:tcW w:w="7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4" w:type="dxa"/>
            <w:tcBorders/>
            <w:vAlign w:val="center"/>
          </w:tcPr>
          <w:p>
            <w:pPr>
              <w:pStyle w:val="TableContents"/>
              <w:bidi w:val="0"/>
              <w:spacing w:before="0" w:after="283"/>
              <w:jc w:val="left"/>
              <w:rPr/>
            </w:pPr>
            <w:r>
              <w:rPr/>
              <w:t> </w:t>
            </w:r>
          </w:p>
        </w:tc>
      </w:tr>
      <w:tr>
        <w:trPr/>
        <w:tc>
          <w:tcPr>
            <w:tcW w:w="7948"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959"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59"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(3,611</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(10,708</w:t>
            </w:r>
          </w:p>
        </w:tc>
        <w:tc>
          <w:tcPr>
            <w:tcW w:w="114" w:type="dxa"/>
            <w:tcBorders/>
            <w:shd w:fill="CCEEFF" w:val="clear"/>
            <w:vAlign w:val="center"/>
          </w:tcPr>
          <w:p>
            <w:pPr>
              <w:pStyle w:val="TableContents"/>
              <w:bidi w:val="0"/>
              <w:spacing w:before="0" w:after="283"/>
              <w:jc w:val="left"/>
              <w:rPr/>
            </w:pPr>
            <w:r>
              <w:rPr/>
              <w:t>)</w:t>
            </w:r>
          </w:p>
        </w:tc>
      </w:tr>
      <w:tr>
        <w:trPr/>
        <w:tc>
          <w:tcPr>
            <w:tcW w:w="7948" w:type="dxa"/>
            <w:tcBorders/>
            <w:vAlign w:val="center"/>
          </w:tcPr>
          <w:p>
            <w:pPr>
              <w:pStyle w:val="TableContents"/>
              <w:bidi w:val="0"/>
              <w:spacing w:before="0" w:after="283"/>
              <w:jc w:val="left"/>
              <w:rPr/>
            </w:pPr>
            <w:r>
              <w:rPr/>
              <w:t>Adjustments required to reconcile net loss to net cash used in operating activities: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37</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11</w:t>
            </w:r>
          </w:p>
        </w:tc>
        <w:tc>
          <w:tcPr>
            <w:tcW w:w="114" w:type="dxa"/>
            <w:tcBorders/>
            <w:shd w:fill="CCEEFF" w:val="clear"/>
            <w:vAlign w:val="center"/>
          </w:tcPr>
          <w:p>
            <w:pPr>
              <w:pStyle w:val="TableContents"/>
              <w:bidi w:val="0"/>
              <w:spacing w:before="0" w:after="283"/>
              <w:jc w:val="left"/>
              <w:rPr/>
            </w:pPr>
            <w:r>
              <w:rPr/>
              <w:t> </w:t>
            </w:r>
          </w:p>
        </w:tc>
      </w:tr>
      <w:tr>
        <w:trPr/>
        <w:tc>
          <w:tcPr>
            <w:tcW w:w="7948" w:type="dxa"/>
            <w:tcBorders/>
            <w:vAlign w:val="center"/>
          </w:tcPr>
          <w:p>
            <w:pPr>
              <w:pStyle w:val="TableContents"/>
              <w:bidi w:val="0"/>
              <w:spacing w:before="0" w:after="283"/>
              <w:jc w:val="left"/>
              <w:rPr/>
            </w:pPr>
            <w:r>
              <w:rPr/>
              <w:t>Exchange differences and interest on deposits and held to maturity bonds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(1,267</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(235</w:t>
            </w:r>
          </w:p>
        </w:tc>
        <w:tc>
          <w:tcPr>
            <w:tcW w:w="114" w:type="dxa"/>
            <w:tcBorders/>
            <w:vAlign w:val="center"/>
          </w:tcPr>
          <w:p>
            <w:pPr>
              <w:pStyle w:val="TableContents"/>
              <w:bidi w:val="0"/>
              <w:spacing w:before="0" w:after="283"/>
              <w:jc w:val="left"/>
              <w:rPr/>
            </w:pPr>
            <w:r>
              <w:rPr/>
              <w:t>)</w:t>
            </w:r>
          </w:p>
        </w:tc>
      </w:tr>
      <w:tr>
        <w:trPr/>
        <w:tc>
          <w:tcPr>
            <w:tcW w:w="7948" w:type="dxa"/>
            <w:tcBorders/>
            <w:shd w:fill="CCEEFF" w:val="clear"/>
            <w:vAlign w:val="center"/>
          </w:tcPr>
          <w:p>
            <w:pPr>
              <w:pStyle w:val="TableContents"/>
              <w:bidi w:val="0"/>
              <w:spacing w:before="0" w:after="283"/>
              <w:jc w:val="left"/>
              <w:rPr/>
            </w:pPr>
            <w:r>
              <w:rPr/>
              <w:t>Changes in fair value of investments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(65</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(110</w:t>
            </w:r>
          </w:p>
        </w:tc>
        <w:tc>
          <w:tcPr>
            <w:tcW w:w="114" w:type="dxa"/>
            <w:tcBorders/>
            <w:shd w:fill="CCEEFF" w:val="clear"/>
            <w:vAlign w:val="center"/>
          </w:tcPr>
          <w:p>
            <w:pPr>
              <w:pStyle w:val="TableContents"/>
              <w:bidi w:val="0"/>
              <w:spacing w:before="0" w:after="283"/>
              <w:jc w:val="left"/>
              <w:rPr/>
            </w:pPr>
            <w:r>
              <w:rPr/>
              <w:t>)</w:t>
            </w:r>
          </w:p>
        </w:tc>
      </w:tr>
      <w:tr>
        <w:trPr/>
        <w:tc>
          <w:tcPr>
            <w:tcW w:w="7948" w:type="dxa"/>
            <w:tcBorders/>
            <w:vAlign w:val="center"/>
          </w:tcPr>
          <w:p>
            <w:pPr>
              <w:pStyle w:val="TableContents"/>
              <w:bidi w:val="0"/>
              <w:spacing w:before="0" w:after="283"/>
              <w:jc w:val="left"/>
              <w:rPr/>
            </w:pPr>
            <w:r>
              <w:rPr/>
              <w:t>Stock-based compensation</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173</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4,029</w:t>
            </w:r>
          </w:p>
        </w:tc>
        <w:tc>
          <w:tcPr>
            <w:tcW w:w="114" w:type="dxa"/>
            <w:tcBorders/>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948" w:type="dxa"/>
            <w:tcBorders/>
            <w:vAlign w:val="center"/>
          </w:tcPr>
          <w:p>
            <w:pPr>
              <w:pStyle w:val="TableContents"/>
              <w:bidi w:val="0"/>
              <w:spacing w:before="0" w:after="283"/>
              <w:jc w:val="left"/>
              <w:rPr/>
            </w:pPr>
            <w:r>
              <w:rPr/>
              <w:t>Prepaid expenses and other current assets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(34</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(295</w:t>
            </w:r>
          </w:p>
        </w:tc>
        <w:tc>
          <w:tcPr>
            <w:tcW w:w="114" w:type="dxa"/>
            <w:tcBorders/>
            <w:vAlign w:val="center"/>
          </w:tcPr>
          <w:p>
            <w:pPr>
              <w:pStyle w:val="TableContents"/>
              <w:bidi w:val="0"/>
              <w:spacing w:before="0" w:after="283"/>
              <w:jc w:val="left"/>
              <w:rPr/>
            </w:pPr>
            <w:r>
              <w:rPr/>
              <w:t>)</w:t>
            </w:r>
          </w:p>
        </w:tc>
      </w:tr>
      <w:tr>
        <w:trPr/>
        <w:tc>
          <w:tcPr>
            <w:tcW w:w="7948" w:type="dxa"/>
            <w:tcBorders/>
            <w:shd w:fill="CCEEFF" w:val="clear"/>
            <w:vAlign w:val="center"/>
          </w:tcPr>
          <w:p>
            <w:pPr>
              <w:pStyle w:val="TableContents"/>
              <w:bidi w:val="0"/>
              <w:spacing w:before="0" w:after="283"/>
              <w:jc w:val="left"/>
              <w:rPr/>
            </w:pPr>
            <w:r>
              <w:rPr/>
              <w:t>Accounts payable, accrued expenses and related parties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(103</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(1,151</w:t>
            </w:r>
          </w:p>
        </w:tc>
        <w:tc>
          <w:tcPr>
            <w:tcW w:w="114" w:type="dxa"/>
            <w:tcBorders/>
            <w:shd w:fill="CCEEFF" w:val="clear"/>
            <w:vAlign w:val="center"/>
          </w:tcPr>
          <w:p>
            <w:pPr>
              <w:pStyle w:val="TableContents"/>
              <w:bidi w:val="0"/>
              <w:spacing w:before="0" w:after="283"/>
              <w:jc w:val="left"/>
              <w:rPr/>
            </w:pPr>
            <w:r>
              <w:rPr/>
              <w:t>)</w:t>
            </w:r>
          </w:p>
        </w:tc>
      </w:tr>
      <w:tr>
        <w:trPr/>
        <w:tc>
          <w:tcPr>
            <w:tcW w:w="7948" w:type="dxa"/>
            <w:tcBorders/>
            <w:vAlign w:val="center"/>
          </w:tcPr>
          <w:p>
            <w:pPr>
              <w:pStyle w:val="TableContents"/>
              <w:bidi w:val="0"/>
              <w:spacing w:before="0" w:after="283"/>
              <w:jc w:val="left"/>
              <w:rPr/>
            </w:pPr>
            <w:r>
              <w:rPr/>
              <w:t>Net changes in operating lease</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(16</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jc w:val="right"/>
              <w:rPr/>
            </w:pPr>
            <w:r>
              <w:rPr/>
              <w:t>-</w:t>
            </w:r>
          </w:p>
        </w:tc>
        <w:tc>
          <w:tcPr>
            <w:tcW w:w="114" w:type="dxa"/>
            <w:tcBorders/>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283"/>
              <w:jc w:val="left"/>
              <w:rPr/>
            </w:pPr>
            <w:r>
              <w:rPr/>
              <w:t>Deferred revenues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(666</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(666</w:t>
            </w:r>
          </w:p>
        </w:tc>
        <w:tc>
          <w:tcPr>
            <w:tcW w:w="114" w:type="dxa"/>
            <w:tcBorders/>
            <w:shd w:fill="CCEEFF" w:val="clear"/>
            <w:vAlign w:val="center"/>
          </w:tcPr>
          <w:p>
            <w:pPr>
              <w:pStyle w:val="TableContents"/>
              <w:bidi w:val="0"/>
              <w:spacing w:before="0" w:after="283"/>
              <w:jc w:val="left"/>
              <w:rPr/>
            </w:pPr>
            <w:r>
              <w:rPr/>
              <w:t>)</w:t>
            </w:r>
          </w:p>
        </w:tc>
      </w:tr>
      <w:tr>
        <w:trPr/>
        <w:tc>
          <w:tcPr>
            <w:tcW w:w="7948" w:type="dxa"/>
            <w:tcBorders/>
            <w:vAlign w:val="center"/>
          </w:tcPr>
          <w:p>
            <w:pPr>
              <w:pStyle w:val="TableContents"/>
              <w:bidi w:val="0"/>
              <w:spacing w:before="0" w:after="283"/>
              <w:jc w:val="left"/>
              <w:rPr/>
            </w:pPr>
            <w:r>
              <w:rPr/>
              <w:t>Liability for employee rights upon retirement</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5</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jc w:val="right"/>
              <w:rPr/>
            </w:pPr>
            <w:r>
              <w:rPr/>
              <w:t>-</w:t>
            </w:r>
          </w:p>
        </w:tc>
        <w:tc>
          <w:tcPr>
            <w:tcW w:w="114" w:type="dxa"/>
            <w:tcBorders/>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948" w:type="dxa"/>
            <w:tcBorders/>
            <w:vAlign w:val="center"/>
          </w:tcPr>
          <w:p>
            <w:pPr>
              <w:pStyle w:val="TableContents"/>
              <w:bidi w:val="0"/>
              <w:spacing w:before="0" w:after="283"/>
              <w:jc w:val="left"/>
              <w:rPr/>
            </w:pPr>
            <w:r>
              <w:rPr/>
              <w:t>Total net cash used in operating activities</w:t>
            </w:r>
          </w:p>
        </w:tc>
        <w:tc>
          <w:tcPr>
            <w:tcW w:w="60" w:type="dxa"/>
            <w:tcBorders/>
            <w:vAlign w:val="center"/>
          </w:tcPr>
          <w:p>
            <w:pPr>
              <w:pStyle w:val="TableContents"/>
              <w:bidi w:val="0"/>
              <w:spacing w:before="0" w:after="283"/>
              <w:jc w:val="left"/>
              <w:rPr/>
            </w:pPr>
            <w:r>
              <w:rPr/>
              <w:t> </w:t>
            </w:r>
          </w:p>
        </w:tc>
        <w:tc>
          <w:tcPr>
            <w:tcW w:w="149"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(5,549</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49"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(9,125</w:t>
            </w:r>
          </w:p>
        </w:tc>
        <w:tc>
          <w:tcPr>
            <w:tcW w:w="114" w:type="dxa"/>
            <w:tcBorders/>
            <w:vAlign w:val="center"/>
          </w:tcPr>
          <w:p>
            <w:pPr>
              <w:pStyle w:val="TableContents"/>
              <w:bidi w:val="0"/>
              <w:spacing w:before="0" w:after="283"/>
              <w:jc w:val="left"/>
              <w:rPr/>
            </w:pPr>
            <w:r>
              <w:rPr/>
              <w:t>)</w:t>
            </w:r>
          </w:p>
        </w:tc>
      </w:tr>
      <w:tr>
        <w:trPr/>
        <w:tc>
          <w:tcPr>
            <w:tcW w:w="7948"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948" w:type="dxa"/>
            <w:tcBorders/>
            <w:vAlign w:val="center"/>
          </w:tcPr>
          <w:p>
            <w:pPr>
              <w:pStyle w:val="TableContents"/>
              <w:bidi w:val="0"/>
              <w:spacing w:before="0" w:after="283"/>
              <w:jc w:val="left"/>
              <w:rPr/>
            </w:pPr>
            <w:r>
              <w:rPr/>
              <w:t>Purchase of short-term deposits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(19,000</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jc w:val="right"/>
              <w:rPr/>
            </w:pPr>
            <w:r>
              <w:rPr/>
              <w:t>-</w:t>
            </w:r>
          </w:p>
        </w:tc>
        <w:tc>
          <w:tcPr>
            <w:tcW w:w="114" w:type="dxa"/>
            <w:tcBorders/>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283"/>
              <w:jc w:val="left"/>
              <w:rPr/>
            </w:pPr>
            <w:r>
              <w:rPr/>
              <w:t>Proceeds from short-term deposits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4,500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5,000</w:t>
            </w:r>
          </w:p>
        </w:tc>
        <w:tc>
          <w:tcPr>
            <w:tcW w:w="114" w:type="dxa"/>
            <w:tcBorders/>
            <w:shd w:fill="CCEEFF" w:val="clear"/>
            <w:vAlign w:val="center"/>
          </w:tcPr>
          <w:p>
            <w:pPr>
              <w:pStyle w:val="TableContents"/>
              <w:bidi w:val="0"/>
              <w:spacing w:before="0" w:after="283"/>
              <w:jc w:val="left"/>
              <w:rPr/>
            </w:pPr>
            <w:r>
              <w:rPr/>
              <w:t> </w:t>
            </w:r>
          </w:p>
        </w:tc>
      </w:tr>
      <w:tr>
        <w:trPr/>
        <w:tc>
          <w:tcPr>
            <w:tcW w:w="7948" w:type="dxa"/>
            <w:tcBorders/>
            <w:vAlign w:val="center"/>
          </w:tcPr>
          <w:p>
            <w:pPr>
              <w:pStyle w:val="TableContents"/>
              <w:bidi w:val="0"/>
              <w:spacing w:before="0" w:after="283"/>
              <w:jc w:val="left"/>
              <w:rPr/>
            </w:pPr>
            <w:r>
              <w:rPr/>
              <w:t>Proceeds from maturity of held to maturity securities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1,496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2,406</w:t>
            </w:r>
          </w:p>
        </w:tc>
        <w:tc>
          <w:tcPr>
            <w:tcW w:w="114" w:type="dxa"/>
            <w:tcBorders/>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(199</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(47</w:t>
            </w:r>
          </w:p>
        </w:tc>
        <w:tc>
          <w:tcPr>
            <w:tcW w:w="114" w:type="dxa"/>
            <w:tcBorders/>
            <w:shd w:fill="CCEEFF" w:val="clear"/>
            <w:vAlign w:val="center"/>
          </w:tcPr>
          <w:p>
            <w:pPr>
              <w:pStyle w:val="TableContents"/>
              <w:bidi w:val="0"/>
              <w:spacing w:before="0" w:after="283"/>
              <w:jc w:val="left"/>
              <w:rPr/>
            </w:pPr>
            <w:r>
              <w:rPr/>
              <w:t>)</w:t>
            </w:r>
          </w:p>
        </w:tc>
      </w:tr>
      <w:tr>
        <w:trPr/>
        <w:tc>
          <w:tcPr>
            <w:tcW w:w="7948" w:type="dxa"/>
            <w:tcBorders/>
            <w:vAlign w:val="center"/>
          </w:tcPr>
          <w:p>
            <w:pPr>
              <w:pStyle w:val="TableContents"/>
              <w:bidi w:val="0"/>
              <w:spacing w:before="0" w:after="283"/>
              <w:jc w:val="left"/>
              <w:rPr/>
            </w:pPr>
            <w:r>
              <w:rPr/>
              <w:t>Total net cash provided by (used in) investing activities</w:t>
            </w:r>
          </w:p>
        </w:tc>
        <w:tc>
          <w:tcPr>
            <w:tcW w:w="60" w:type="dxa"/>
            <w:tcBorders/>
            <w:vAlign w:val="center"/>
          </w:tcPr>
          <w:p>
            <w:pPr>
              <w:pStyle w:val="TableContents"/>
              <w:bidi w:val="0"/>
              <w:spacing w:before="0" w:after="283"/>
              <w:jc w:val="left"/>
              <w:rPr/>
            </w:pPr>
            <w:r>
              <w:rPr/>
              <w:t> </w:t>
            </w:r>
          </w:p>
        </w:tc>
        <w:tc>
          <w:tcPr>
            <w:tcW w:w="149"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(13,203</w:t>
            </w:r>
          </w:p>
        </w:tc>
        <w:tc>
          <w:tcPr>
            <w:tcW w:w="101" w:type="dxa"/>
            <w:tcBorders/>
            <w:vAlign w:val="center"/>
          </w:tcPr>
          <w:p>
            <w:pPr>
              <w:pStyle w:val="TableContents"/>
              <w:bidi w:val="0"/>
              <w:spacing w:before="0" w:after="283"/>
              <w:jc w:val="left"/>
              <w:rPr/>
            </w:pPr>
            <w:r>
              <w:rPr/>
              <w:t>)</w:t>
            </w:r>
          </w:p>
        </w:tc>
        <w:tc>
          <w:tcPr>
            <w:tcW w:w="64" w:type="dxa"/>
            <w:tcBorders/>
            <w:vAlign w:val="center"/>
          </w:tcPr>
          <w:p>
            <w:pPr>
              <w:pStyle w:val="TableContents"/>
              <w:bidi w:val="0"/>
              <w:spacing w:before="0" w:after="283"/>
              <w:jc w:val="left"/>
              <w:rPr/>
            </w:pPr>
            <w:r>
              <w:rPr/>
              <w:t> </w:t>
            </w:r>
          </w:p>
        </w:tc>
        <w:tc>
          <w:tcPr>
            <w:tcW w:w="149"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7,359</w:t>
            </w:r>
          </w:p>
        </w:tc>
        <w:tc>
          <w:tcPr>
            <w:tcW w:w="114" w:type="dxa"/>
            <w:tcBorders/>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948" w:type="dxa"/>
            <w:tcBorders/>
            <w:vAlign w:val="center"/>
          </w:tcPr>
          <w:p>
            <w:pPr>
              <w:pStyle w:val="TableContents"/>
              <w:bidi w:val="0"/>
              <w:spacing w:before="0" w:after="283"/>
              <w:jc w:val="left"/>
              <w:rPr/>
            </w:pPr>
            <w:r>
              <w:rPr/>
              <w:t>Proceeds from issuance of common stock, net of issuance costs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2,430</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2,969</w:t>
            </w:r>
          </w:p>
        </w:tc>
        <w:tc>
          <w:tcPr>
            <w:tcW w:w="114" w:type="dxa"/>
            <w:tcBorders/>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283"/>
              <w:jc w:val="left"/>
              <w:rPr/>
            </w:pPr>
            <w:r>
              <w:rPr/>
              <w:t>Tax withholdings related to stock-based compensation settlements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(677</w:t>
            </w:r>
          </w:p>
        </w:tc>
        <w:tc>
          <w:tcPr>
            <w:tcW w:w="114" w:type="dxa"/>
            <w:tcBorders/>
            <w:shd w:fill="CCEEFF" w:val="clear"/>
            <w:vAlign w:val="center"/>
          </w:tcPr>
          <w:p>
            <w:pPr>
              <w:pStyle w:val="TableContents"/>
              <w:bidi w:val="0"/>
              <w:spacing w:before="0" w:after="283"/>
              <w:jc w:val="left"/>
              <w:rPr/>
            </w:pPr>
            <w:r>
              <w:rPr/>
              <w:t>)</w:t>
            </w:r>
          </w:p>
        </w:tc>
      </w:tr>
      <w:tr>
        <w:trPr/>
        <w:tc>
          <w:tcPr>
            <w:tcW w:w="7948" w:type="dxa"/>
            <w:tcBorders/>
            <w:vAlign w:val="center"/>
          </w:tcPr>
          <w:p>
            <w:pPr>
              <w:pStyle w:val="TableContents"/>
              <w:bidi w:val="0"/>
              <w:spacing w:before="0" w:after="283"/>
              <w:jc w:val="left"/>
              <w:rPr/>
            </w:pPr>
            <w:r>
              <w:rPr/>
              <w:t>Total net cash provided by financing activities</w:t>
            </w:r>
          </w:p>
        </w:tc>
        <w:tc>
          <w:tcPr>
            <w:tcW w:w="60" w:type="dxa"/>
            <w:tcBorders/>
            <w:vAlign w:val="center"/>
          </w:tcPr>
          <w:p>
            <w:pPr>
              <w:pStyle w:val="TableContents"/>
              <w:bidi w:val="0"/>
              <w:spacing w:before="0" w:after="283"/>
              <w:jc w:val="left"/>
              <w:rPr/>
            </w:pPr>
            <w:r>
              <w:rPr/>
              <w:t> </w:t>
            </w:r>
          </w:p>
        </w:tc>
        <w:tc>
          <w:tcPr>
            <w:tcW w:w="149"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2,430</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9"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2,292</w:t>
            </w:r>
          </w:p>
        </w:tc>
        <w:tc>
          <w:tcPr>
            <w:tcW w:w="114" w:type="dxa"/>
            <w:tcBorders/>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283"/>
              <w:jc w:val="left"/>
              <w:rPr>
                <w:b/>
              </w:rPr>
            </w:pPr>
            <w:r>
              <w:rPr>
                <w:b/>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(38</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114" w:type="dxa"/>
            <w:tcBorders/>
            <w:shd w:fill="CCEEFF" w:val="clear"/>
            <w:vAlign w:val="center"/>
          </w:tcPr>
          <w:p>
            <w:pPr>
              <w:pStyle w:val="TableContents"/>
              <w:bidi w:val="0"/>
              <w:spacing w:before="0" w:after="283"/>
              <w:jc w:val="left"/>
              <w:rPr/>
            </w:pPr>
            <w:r>
              <w:rPr/>
              <w:t>)</w:t>
            </w:r>
          </w:p>
        </w:tc>
      </w:tr>
      <w:tr>
        <w:trPr/>
        <w:tc>
          <w:tcPr>
            <w:tcW w:w="7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283"/>
              <w:jc w:val="left"/>
              <w:rPr>
                <w:b/>
              </w:rPr>
            </w:pPr>
            <w:r>
              <w:rPr>
                <w:b/>
              </w:rPr>
              <w:t>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(16,360</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511</w:t>
            </w:r>
          </w:p>
        </w:tc>
        <w:tc>
          <w:tcPr>
            <w:tcW w:w="114" w:type="dxa"/>
            <w:tcBorders/>
            <w:shd w:fill="CCEEFF" w:val="clear"/>
            <w:vAlign w:val="center"/>
          </w:tcPr>
          <w:p>
            <w:pPr>
              <w:pStyle w:val="TableContents"/>
              <w:bidi w:val="0"/>
              <w:spacing w:before="0" w:after="283"/>
              <w:jc w:val="left"/>
              <w:rPr/>
            </w:pPr>
            <w:r>
              <w:rPr/>
              <w:t> </w:t>
            </w:r>
          </w:p>
        </w:tc>
      </w:tr>
      <w:tr>
        <w:trPr/>
        <w:tc>
          <w:tcPr>
            <w:tcW w:w="7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283"/>
              <w:jc w:val="left"/>
              <w:rPr>
                <w:b/>
              </w:rPr>
            </w:pPr>
            <w:r>
              <w:rPr>
                <w:b/>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40,464</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27,456</w:t>
            </w:r>
          </w:p>
        </w:tc>
        <w:tc>
          <w:tcPr>
            <w:tcW w:w="114" w:type="dxa"/>
            <w:tcBorders/>
            <w:shd w:fill="CCEEFF" w:val="clear"/>
            <w:vAlign w:val="center"/>
          </w:tcPr>
          <w:p>
            <w:pPr>
              <w:pStyle w:val="TableContents"/>
              <w:bidi w:val="0"/>
              <w:spacing w:before="0" w:after="283"/>
              <w:jc w:val="left"/>
              <w:rPr/>
            </w:pPr>
            <w:r>
              <w:rPr/>
              <w:t> </w:t>
            </w:r>
          </w:p>
        </w:tc>
      </w:tr>
      <w:tr>
        <w:trPr/>
        <w:tc>
          <w:tcPr>
            <w:tcW w:w="7948" w:type="dxa"/>
            <w:tcBorders/>
            <w:vAlign w:val="center"/>
          </w:tcPr>
          <w:p>
            <w:pPr>
              <w:pStyle w:val="TableContents"/>
              <w:bidi w:val="0"/>
              <w:spacing w:before="0" w:after="283"/>
              <w:jc w:val="left"/>
              <w:rPr>
                <w:b/>
              </w:rPr>
            </w:pPr>
            <w:r>
              <w:rPr>
                <w:b/>
              </w:rPr>
              <w:t>CASH AND CASH EQUIVALENTS AT END OF PERIOD</w:t>
            </w:r>
          </w:p>
        </w:tc>
        <w:tc>
          <w:tcPr>
            <w:tcW w:w="60" w:type="dxa"/>
            <w:tcBorders/>
            <w:vAlign w:val="center"/>
          </w:tcPr>
          <w:p>
            <w:pPr>
              <w:pStyle w:val="TableContents"/>
              <w:bidi w:val="0"/>
              <w:spacing w:before="0" w:after="283"/>
              <w:jc w:val="left"/>
              <w:rPr/>
            </w:pPr>
            <w:r>
              <w:rPr/>
              <w:t> </w:t>
            </w:r>
          </w:p>
        </w:tc>
        <w:tc>
          <w:tcPr>
            <w:tcW w:w="149" w:type="dxa"/>
            <w:tcBorders>
              <w:bottom w:val="double" w:sz="10" w:space="0" w:color="000000"/>
            </w:tcBorders>
            <w:tcMar>
              <w:bottom w:w="28" w:type="dxa"/>
            </w:tcMar>
            <w:vAlign w:val="center"/>
          </w:tcPr>
          <w:p>
            <w:pPr>
              <w:pStyle w:val="TableContents"/>
              <w:bidi w:val="0"/>
              <w:spacing w:before="0" w:after="283"/>
              <w:jc w:val="left"/>
              <w:rPr/>
            </w:pPr>
            <w:r>
              <w:rPr/>
              <w:t>$</w:t>
            </w:r>
          </w:p>
        </w:tc>
        <w:tc>
          <w:tcPr>
            <w:tcW w:w="810" w:type="dxa"/>
            <w:tcBorders>
              <w:bottom w:val="double" w:sz="10" w:space="0" w:color="000000"/>
            </w:tcBorders>
            <w:tcMar>
              <w:bottom w:w="28" w:type="dxa"/>
            </w:tcMar>
            <w:vAlign w:val="center"/>
          </w:tcPr>
          <w:p>
            <w:pPr>
              <w:pStyle w:val="TableContents"/>
              <w:bidi w:val="0"/>
              <w:spacing w:before="0" w:after="283"/>
              <w:jc w:val="right"/>
              <w:rPr/>
            </w:pPr>
            <w:r>
              <w:rPr/>
              <w:t>24,104</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9" w:type="dxa"/>
            <w:tcBorders>
              <w:bottom w:val="double" w:sz="10" w:space="0" w:color="000000"/>
            </w:tcBorders>
            <w:tcMar>
              <w:bottom w:w="28" w:type="dxa"/>
            </w:tcMar>
            <w:vAlign w:val="center"/>
          </w:tcPr>
          <w:p>
            <w:pPr>
              <w:pStyle w:val="TableContents"/>
              <w:bidi w:val="0"/>
              <w:spacing w:before="0" w:after="283"/>
              <w:jc w:val="left"/>
              <w:rPr/>
            </w:pPr>
            <w:r>
              <w:rPr/>
              <w:t>$</w:t>
            </w:r>
          </w:p>
        </w:tc>
        <w:tc>
          <w:tcPr>
            <w:tcW w:w="810" w:type="dxa"/>
            <w:tcBorders>
              <w:bottom w:val="double" w:sz="10" w:space="0" w:color="000000"/>
            </w:tcBorders>
            <w:tcMar>
              <w:bottom w:w="28" w:type="dxa"/>
            </w:tcMar>
            <w:vAlign w:val="center"/>
          </w:tcPr>
          <w:p>
            <w:pPr>
              <w:pStyle w:val="TableContents"/>
              <w:bidi w:val="0"/>
              <w:spacing w:before="0" w:after="283"/>
              <w:jc w:val="right"/>
              <w:rPr/>
            </w:pPr>
            <w:r>
              <w:rPr/>
              <w:t>27,967</w:t>
            </w:r>
          </w:p>
        </w:tc>
        <w:tc>
          <w:tcPr>
            <w:tcW w:w="114" w:type="dxa"/>
            <w:tcBorders/>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948" w:type="dxa"/>
            <w:tcBorders/>
            <w:vAlign w:val="center"/>
          </w:tcPr>
          <w:p>
            <w:pPr>
              <w:pStyle w:val="TableContents"/>
              <w:bidi w:val="0"/>
              <w:spacing w:before="0" w:after="283"/>
              <w:jc w:val="left"/>
              <w:rPr>
                <w:b/>
              </w:rPr>
            </w:pPr>
            <w:r>
              <w:rPr>
                <w:b/>
              </w:rPr>
              <w:t>(A) SUPPLEMENTARY DISCLOSURE ON CASH FLOWS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283"/>
              <w:jc w:val="left"/>
              <w:rPr/>
            </w:pPr>
            <w:r>
              <w:rPr/>
              <w:t>Interest received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0" w:type="dxa"/>
            <w:tcBorders>
              <w:bottom w:val="double" w:sz="10" w:space="0" w:color="000000"/>
            </w:tcBorders>
            <w:shd w:fill="CCEEFF" w:val="clear"/>
            <w:tcMar>
              <w:bottom w:w="28" w:type="dxa"/>
            </w:tcMar>
            <w:vAlign w:val="center"/>
          </w:tcPr>
          <w:p>
            <w:pPr>
              <w:pStyle w:val="TableContents"/>
              <w:bidi w:val="0"/>
              <w:spacing w:before="0" w:after="283"/>
              <w:jc w:val="right"/>
              <w:rPr/>
            </w:pPr>
            <w:r>
              <w:rPr/>
              <w:t>308</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0" w:type="dxa"/>
            <w:tcBorders>
              <w:bottom w:val="double" w:sz="10" w:space="0" w:color="000000"/>
            </w:tcBorders>
            <w:shd w:fill="CCEEFF" w:val="clear"/>
            <w:tcMar>
              <w:bottom w:w="28" w:type="dxa"/>
            </w:tcMar>
            <w:vAlign w:val="center"/>
          </w:tcPr>
          <w:p>
            <w:pPr>
              <w:pStyle w:val="TableContents"/>
              <w:bidi w:val="0"/>
              <w:spacing w:before="0" w:after="283"/>
              <w:jc w:val="right"/>
              <w:rPr/>
            </w:pPr>
            <w:r>
              <w:rPr/>
              <w:t>122</w:t>
            </w:r>
          </w:p>
        </w:tc>
        <w:tc>
          <w:tcPr>
            <w:tcW w:w="114" w:type="dxa"/>
            <w:tcBorders/>
            <w:shd w:fill="CCEEFF" w:val="clear"/>
            <w:vAlign w:val="center"/>
          </w:tcPr>
          <w:p>
            <w:pPr>
              <w:pStyle w:val="TableContents"/>
              <w:bidi w:val="0"/>
              <w:spacing w:before="0" w:after="283"/>
              <w:jc w:val="left"/>
              <w:rPr/>
            </w:pPr>
            <w:r>
              <w:rPr/>
              <w:t> </w:t>
            </w:r>
          </w:p>
        </w:tc>
      </w:tr>
      <w:tr>
        <w:trPr/>
        <w:tc>
          <w:tcPr>
            <w:tcW w:w="7948" w:type="dxa"/>
            <w:tcBorders/>
            <w:vAlign w:val="center"/>
          </w:tcPr>
          <w:p>
            <w:pPr>
              <w:pStyle w:val="TableContents"/>
              <w:bidi w:val="0"/>
              <w:spacing w:before="0" w:after="283"/>
              <w:jc w:val="left"/>
              <w:rPr>
                <w:b/>
              </w:rPr>
            </w:pPr>
            <w:r>
              <w:rPr>
                <w:b/>
              </w:rPr>
              <w:t>(B) SUPPLEMENTARY DISCLOSURE ON CASH FLOWS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7948" w:type="dxa"/>
            <w:tcBorders/>
            <w:shd w:fill="CCEEFF" w:val="clear"/>
            <w:vAlign w:val="center"/>
          </w:tcPr>
          <w:p>
            <w:pPr>
              <w:pStyle w:val="TableContents"/>
              <w:bidi w:val="0"/>
              <w:spacing w:before="0" w:after="283"/>
              <w:jc w:val="left"/>
              <w:rPr/>
            </w:pPr>
            <w:r>
              <w:rPr/>
              <w:t>Recognition of operating lease right-of-use assets and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0"/>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647</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403" w:right="0" w:hanging="403"/>
        <w:jc w:val="center"/>
        <w:rPr>
          <w:rFonts w:ascii="Times New Roman;Times;Serif" w:hAnsi="Times New Roman;Times;Serif"/>
          <w:b/>
          <w:i w:val="false"/>
          <w:caps w:val="false"/>
          <w:smallCaps w:val="false"/>
          <w:sz w:val="20"/>
        </w:rPr>
      </w:pPr>
      <w:bookmarkStart w:id="8" w:name="fin_005"/>
      <w:bookmarkEnd w:id="8"/>
      <w:r>
        <w:rPr>
          <w:rFonts w:ascii="Times New Roman;Times;Serif" w:hAnsi="Times New Roman;Times;Serif"/>
          <w:b/>
          <w:i w:val="false"/>
          <w:caps w:val="false"/>
          <w:smallCaps w:val="false"/>
          <w:sz w:val="20"/>
        </w:rPr>
        <w:t>ORAMED PHARMACEUTICALS INC.</w:t>
      </w:r>
    </w:p>
    <w:p>
      <w:pPr>
        <w:pStyle w:val="TextBody"/>
        <w:bidi w:val="0"/>
        <w:spacing w:before="0" w:after="0"/>
        <w:ind w:left="403" w:right="0" w:hanging="40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w:t>
      </w:r>
    </w:p>
    <w:p>
      <w:pPr>
        <w:pStyle w:val="TextBody"/>
        <w:bidi w:val="0"/>
        <w:spacing w:before="0" w:after="0"/>
        <w:ind w:left="1134" w:right="0" w:firstLine="3318"/>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75"/>
        <w:gridCol w:w="170"/>
        <w:gridCol w:w="25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5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and Operations</w:t>
            </w:r>
          </w:p>
        </w:tc>
      </w:tr>
    </w:tbl>
    <w:p>
      <w:pPr>
        <w:pStyle w:val="TextBody"/>
        <w:bidi w:val="0"/>
        <w:spacing w:before="0" w:after="0"/>
        <w:ind w:left="1982"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Pharmaceuticals Inc. (collectively with its subsidiaries, the “Company”, unless the context indicates otherwise), a Delaware corporation, was incorporated on April 12, 2002.</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2006, the Company entered into an agreement with Hadasit Medical Services and Development Ltd. to acquire the provisional patent related to an orally ingestible insulin capsule to be used for the treatment of individuals with diabetes.</w:t>
      </w:r>
    </w:p>
    <w:p>
      <w:pPr>
        <w:pStyle w:val="TextBody"/>
        <w:bidi w:val="0"/>
        <w:spacing w:before="0" w:after="0"/>
        <w:ind w:left="1418"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2007, the Company incorporated a wholly-owned subsidiary in Israel, Oramed Ltd. (the “Subsidiary”), which is engaged in research and development.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2019, the Subsidiary incorporated a wholly-owned subsidiary in Hong Kong, Oramed HK Limited (the “Hong Kong Subsidiary”). As of March 31, 2023, the Hong Kong Subsidiary has no operations.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2021, the Company entered into a license agreement (the “Oravax License Agreement”) with Oravax Medical Inc. (“Oravax”) and into a stockholders agreement (the “Stockholders Agreement”) with Akers Biosciences Inc. (“Akers”), Premas Biotech Pvt. Ltd. (“Premas”), Cutter Mill Capital LLC (“Cutter Mill”) and Run Ridge LLC (“Run Ridge”). According to the Stockholders Agreement, Oravax issued 1,890,000 shares of its capital stock to the Company, representing 63% of the issued and outstanding share capital of Oravax, on a fully diluted basis, as of the date of issuance. Consequently, Oramed consolidates Oravax in its consolidated financial statements since that time.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23, 2021, Oravax incorporated a wholly-owned subsidiary in Israel, Oravax Medical Ltd., which is engaged in research and development. Effective January 1, 2022, Oravax transferred its rights and obligations under the Oravax License Agreement to Oravax Medical Ltd.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2023, the Company announced that the ORA-D-013-1 Phase 3 trial did not meet its primary and secondary endpoints. As a result, the Company terminated this trial and a parallel Phase 3, ORA-D-013-2 clinical trial. The Company has also initiated a comprehensive analysis of the data to understand if there is a path forward for its oral insulin candidate. Concurrently, the Company is examining its existing pipeline and has commenced an evaluation process of potential strategic opportunities, with the goal of enhancing value for the Company’s stockholders. As these results are considered a triggering event, the Company evaluated all of its long lived assets which include fixed assets and operating lease right-of-use assets in the first quarter of 2023 and concluded that no impairment is required.</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170"/>
        <w:gridCol w:w="2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8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 and Liquidity Risks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engaged in research and development in the biotechnology field for innovative pharmaceutical solutions, including an orally ingestible insulin capsule to be used for the treatment of individuals with diabetes, and the use of orally ingestible capsules for delivery of other polypeptides, and has not generated significant revenues from its operations. Based on the Company’s current cash resources and commitments, the Company believes it will be able to maintain its current planned development activities and the corresponding level of expenditures for at least the next 12 months, although no assurance can be given that the Company will not need additional funds prior to such time. If there are unexpected increases in its operating expenses, the Company may need to seek additional financing during the next 12 months. Successful completion of the Company’s development programs and its transition to normal operations is dependent upon obtaining necessary regulatory approvals from the U.S. Food and Drug Administration prior to selling its products within the United States, obtaining foreign regulatory approvals to sell its products internationally, or entering into licensing agreements with third parties. There can be no assurance that the Company will receive regulatory approval of any of its product candidates, and a substantial amount of time may pass before the Company achieves a level of revenues adequate to support its operations, if at all. The Company also expects to incur substantial expenditures in connection with the regulatory approval process for each of its product candidates during their respective developmental periods. Obtaining marketing approval will be directly dependent on the Company’s ability to implement the necessary regulatory steps required to obtain marketing approval in the United States and in other countries. The Company may also need additional funds to realize the decisions made as part of its strategic review process. The Company cannot predict the outcome of these activities.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403" w:right="0" w:hanging="40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403" w:right="0" w:hanging="40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1985"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w:t>
      </w:r>
    </w:p>
    <w:p>
      <w:pPr>
        <w:pStyle w:val="TextBody"/>
        <w:bidi w:val="0"/>
        <w:spacing w:before="0" w:after="0"/>
        <w:ind w:left="1985"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4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financial statements preparation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included herein have been prepared in accordance with United States generally accepted accounting principles (“U.S. GAAP”) and, on the same basis as the audited consolidated financial statements included in the Company’s Annual Report on Form 10-K for the fiscal year ended December 31, 2022 (the “2022 Form 10-K”). These condensed consolidated financial statements reflect all adjustments that are of a normal recurring nature and that are considered necessary for a fair statement of the results of the periods presented. Certain information and disclosures normally included in annual consolidated financial statements have been omitted in this interim period report pursuant to the rules and regulations of the Securities and Exchange Commission. Because the condensed consolidated interim financial statements do not include all of the information and disclosures required by U.S. GAAP for annual financial statements, they should be read in conjunction with the audited consolidated financial statements and notes included in the 2022 Form 10-K. The results for interim periods are not necessarily indicative of a full fiscal year’s results.</w:t>
      </w:r>
    </w:p>
    <w:p>
      <w:pPr>
        <w:pStyle w:val="TextBody"/>
        <w:bidi w:val="0"/>
        <w:spacing w:before="0" w:after="0"/>
        <w:ind w:left="1985"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170"/>
        <w:gridCol w:w="20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per common share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of common stock are computed by dividing the net loss attributable to stockholders for the period by the weighted average number of shares of common stock outstanding for each period, including vested restricted stock units (“RSUs”). Outstanding stock options, warrants and unvested RSUs have been excluded from the calculation of the diluted loss per share because all such securities are anti-dilutive for all periods presented. The weighted average number of common stock options, warrants and RSUs excluded from the calculation of diluted net loss was 3,357,911 and 3,463,525 for the three month periods ended March 31, 2023 and March 31, 2022, respectively.</w:t>
      </w:r>
    </w:p>
    <w:p>
      <w:pPr>
        <w:pStyle w:val="TextBody"/>
        <w:bidi w:val="0"/>
        <w:spacing w:before="0" w:after="0"/>
        <w:ind w:left="144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155"/>
        <w:gridCol w:w="17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HTIT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30, 2015, the Company entered into a Technology License Agreement (the “TLA”), with Hefei Tianhui Incubator of Technologies Co. Ltd. (“HTIT”) and on December 21, 2015, the parties entered into an Amended and Restated Technology License Agreement that was further amended by the parties on June 3, 2016 and July 24, 2016 (the “HTIT License Agreement”). The HTIT License Agreement and a Stock Purchase Agreement, dated November 30, 2015, between the Company and HTIT (the “SPA”) were considered a single arrangement with multiple deliverables. The Company allocated the total consideration of $49,500 between the HTIT License Agreement and the SPA according to their fair value, as follows: $10,617 was allocated to the issuance of common stock (less issuance expenses of $23), based on the quoted price of the Company’s shares on the closing date of the SPA on December 28, 2015, and $38,883 was allocated to the HTIT License Agreement.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Accounting Standard Codification, (“ASC”) 606, the Company identified a single performance obligation in the agreement and determined that the license and services are not distinct as the license and services are highly dependent on each other. In other words, HTIT cannot benefit from the license without the related services, and vice versa.</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customer benefits from the services as the entity performs, revenue is recognized over time through the expected product submission date in June 2023, using the input method. The Company used the input method to measure the process for the purpose of recognizing revenue, which approximates the straight line attribution. The Company used significant judgment when it determined the product submission date.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the consideration that the Company would be entitled to upon the achievement of contractual milestones, which are contingent upon the occurrence of future events, are a form of variable consideration. When assessing the portion, if any, of such milestones-related consideration to be included in the transaction price, the Company first assesses the most likely outcome for each milestone and excludes the consideration related to milestones of which the occurrence is not considered the most likely outcome.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403" w:right="0" w:hanging="40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403" w:right="0" w:hanging="40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then evaluates if any of the variable consideration determined in the first step is constrained by including in the transaction price variable consideration to the extent that it is probable that a significant reversal in the amount of cumulative revenue recognized will not occur when the uncertainty associated with the variable consideration is subsequently resolved. The Company used significant judgment when it determined the first step of variable consideration.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future royalty consideration is also considered a form of variable consideration under ASC 606 as it is based on a percentage of potential future sales of the Company’s products. However, the Company applies the sales-based royalty exception and accordingly will recognize the sales-based royalty amounts when the related sale has occurred. To date, the Company has not recognized any royalty-related revenue.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 aggregate amount of $22,382 was allocated to the HTIT License Agreement, all of which were received through the balance sheet date. Through March 31, 2023, the Company recognized revenue associated with this agreement in the aggregate amount of $19,708, of which $666 was recognized in the quarter ended March 31, 2023, and deferred the remaining amount of $2,674, which is presented as a contract liability on the condensed consolidated balance sheet.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Medicox</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2022, the Company entered into a distribution license agreement (“Medicox License Agreement”) with Medicox Co., Ltd. (“Medicox”). The Medicox License Agreement grants Medicox an exclusive license to apply for regulatory approval and distribute ORMD-0801 in the Republic of Korea. For further details, see note 3c.</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the Company identified Medicox as a customer and the Medicox License Agreement as a contract with a customer.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identified a performance obligation in the Medicox License Agreement to stand-ready and provide Medicox with support in its commercialization efforts in the Republic of Korea. This performance obligation includes a non-distinct distribution license for ORMD-0801, which the Company views a predominant item in the combined performance obligation. The Company concluded that the license is not distinct, as no party other than the Company is capable of providing related services to Medicox, and both the license and related services are necessary for the customer to obtain a regulatory approval in the Republic of Korea. In addition, the agreement covers the terms of future manufacturing services, that are contingent on the completion and success of the commercialization efforts.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Medicox License Agreement contains a fixed consideration of $2,000, which was received by the Company in fiscal year 2022 and is presented under long-term deferred revenues as of March 31, 2023. It also contains variable consideration of contractual milestone payments and sales-based royalties.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 to stand-ready and support Medicox will be recognized on a straight-line basis over the period the Company expects to provide support to Medicox. As of March 31, 2023, this support has not commenced, and no revenue was recognized from the Medicox License Agreement.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Medicox proceeds with the regulatory approval process in the Republic of Korea, the Company expects most of the revenue to be recognized in 2024, going forward. The Company notes that its Phase 3 trial did not meet its primary and secondary endpoints. If Medicox chooses to terminate the agreement as a result of the outcome of the applicable Phase 3 trials, the Company expects to accelerate revenue recognition and recognize it at such time.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403" w:right="0" w:hanging="40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403" w:right="0" w:hanging="40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144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3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adopted accounting pronouncements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instruments – credit losses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the Financial Accounting Standards Board issued Accounting Standards Update 2016-13 “Financial Instruments—Credit Losses—Measurement of Credit Losses on Financial Instruments.” This guidance replaces the current incurred loss impairment methodology with a methodology that reflects expected credit losses and requires consideration of a broader range of reasonable and supportable information to inform credit loss estimates. The guidance became effective for the fiscal year beginning after December 15, 2022, including interim periods within that year. The Company adopted the provisions of this update as of January 1, 2023, with no material impact on its consolidated financial statements.</w:t>
      </w:r>
    </w:p>
    <w:p>
      <w:pPr>
        <w:pStyle w:val="TextBody"/>
        <w:bidi w:val="0"/>
        <w:spacing w:before="0" w:after="0"/>
        <w:ind w:left="1440" w:right="0" w:hanging="0"/>
        <w:jc w:val="left"/>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75"/>
        <w:gridCol w:w="155"/>
        <w:gridCol w:w="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9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fair value and discloses fair value measurements for financial assets and liabilities. Fair value is based on the price that would be received to sell an asset or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pStyle w:val="TextBody"/>
        <w:bidi w:val="0"/>
        <w:spacing w:before="0" w:after="0"/>
        <w:ind w:left="993"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16"/>
        <w:gridCol w:w="9551"/>
      </w:tblGrid>
      <w:tr>
        <w:trPr/>
        <w:tc>
          <w:tcPr>
            <w:tcW w:w="3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9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Quoted prices (unadjusted) in active markets that are accessible at the measurement date for assets or liabilities. The fair value hierarchy gives the highest priority to Level 1 inputs.</w:t>
            </w:r>
          </w:p>
        </w:tc>
      </w:tr>
    </w:tbl>
    <w:p>
      <w:pPr>
        <w:pStyle w:val="TextBody"/>
        <w:bidi w:val="0"/>
        <w:spacing w:before="0" w:after="0"/>
        <w:ind w:left="2160" w:right="0" w:hanging="11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41"/>
        <w:gridCol w:w="9526"/>
      </w:tblGrid>
      <w:tr>
        <w:trPr/>
        <w:tc>
          <w:tcPr>
            <w:tcW w:w="3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pPr>
            <w:r>
              <w:rPr>
                <w:rFonts w:ascii="Times New Roman;Times;Serif" w:hAnsi="Times New Roman;Times;Serif"/>
                <w:sz w:val="20"/>
              </w:rPr>
              <w:t xml:space="preserve">Level </w:t>
            </w:r>
            <w:r>
              <w:rPr/>
              <w:t>2:</w:t>
            </w:r>
          </w:p>
        </w:tc>
        <w:tc>
          <w:tcPr>
            <w:tcW w:w="95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Observable prices that are based on inputs other than quoted prices included within Level 1 that are observable for the asset or liability, either directly or indirectly.</w:t>
            </w:r>
          </w:p>
        </w:tc>
      </w:tr>
    </w:tbl>
    <w:p>
      <w:pPr>
        <w:pStyle w:val="TextBody"/>
        <w:bidi w:val="0"/>
        <w:spacing w:before="0" w:after="0"/>
        <w:ind w:left="2160" w:right="0" w:hanging="11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57"/>
        <w:gridCol w:w="947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94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Unobservable inputs are used when little or no market data is available. The fair value hierarchy gives the lowest priority to Level 3 inputs.</w:t>
            </w:r>
          </w:p>
        </w:tc>
      </w:tr>
    </w:tbl>
    <w:p>
      <w:pPr>
        <w:pStyle w:val="TextBody"/>
        <w:bidi w:val="0"/>
        <w:spacing w:before="0" w:after="0"/>
        <w:ind w:left="1167" w:right="0" w:hanging="1167"/>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the assets measured at fair value are comprised of equity securities (Level 1). The fair value of held to maturity bonds as presented in note 4 was based on a Level 2 measurement.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the carrying amounts of cash equivalents, short-term deposits and accounts payable approximate their fair values due to the short-term maturities of these instruments.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funded in respect of employee rights are stated at cash surrender value which approximates its fair value.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3" w:right="0" w:hanging="40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403" w:right="0" w:hanging="40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3 - COMMITMENTS</w:t>
      </w:r>
      <w:r>
        <w:rPr>
          <w:rFonts w:ascii="Times New Roman;Times;Serif" w:hAnsi="Times New Roman;Times;Serif"/>
          <w:b w:val="false"/>
          <w:i w:val="false"/>
          <w:caps w:val="false"/>
          <w:smallCaps w:val="false"/>
          <w:sz w:val="20"/>
        </w:rPr>
        <w:t>:</w:t>
      </w:r>
    </w:p>
    <w:p>
      <w:pPr>
        <w:pStyle w:val="TextBody"/>
        <w:bidi w:val="0"/>
        <w:spacing w:before="0" w:after="0"/>
        <w:ind w:left="128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6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2020 (effective as of January 15, 2020), the Subsidiary entered into a CRO Services Agreement with a third party to retain it as a clinical research organization (“CRO”) for the Subsidiary’s phase 3 clinical trial for its oral insulin. The CRO Services Agreement was amended effective May 26, 2022 and as consideration for its services, the Subsidiary will pay the CRO a total amended amount up to $22,684 during the term of the engagement and based on achievement of certain milestones, of which $16,600 was recognized in research and development expenses through March 31, 2023.</w:t>
            </w:r>
          </w:p>
          <w:p>
            <w:pPr>
              <w:pStyle w:val="TableContents"/>
              <w:bidi w:val="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2023, the Company announced that the ORA-D-013-1 Phase 3 trial did not meet its primary and secondary endpoints. As a result, the Company terminated this trial.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96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16, 2020 (effective as of January 15, 2020), the Subsidiary entered into a CRO Services Agreement with a third party to retain it as a CRO for the Subsidiary’s phase 3 clinical trial for its oral insulin. The CRO Services Agreement was amended effective May 26, 2022 and as consideration for its services, the Subsidiary will pay the CRO a total amended amount up to $15,796 during the term of the engagement and based on achievement of certain milestones, of which $7,972 was recognized in research and development expenses through March 31, 2023.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2023, the Company announced that the ORA-D-013-1 Phase 3 trial did not meet its primary and secondary endpoints. As a result, the Company terminated this trial and a parallel Phase 3, ORA-D-013-2 clinical trial.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2022, the Company entered the Medicox License Agreement with Medicox.</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Medicox License Agreement grants Medicox an exclusive license to apply for regulatory approval and distribute ORMD-0801 in the Republic of Korea. The Medicox License Agreement is for ten years, but the parties have the right to terminate it upon 180 days’ notice.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Medicox will comply with agreed distribution targets and will purchase ORMD-0801 at an agreed upon transfer price per capsule. In addition, Medicox will pay the Company up to $15,000 in developmental milestones, $2,000 of which have already been received by the Company, and up to 15% royalties on gross sales. Medicox will also be responsible for obtaining a regulatory approval in the Republic of Korea.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with Medicox a path forward to continue its collaboration, following the results of the ORA-D-013-1 Phase 3 trial.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Company’s revenue recognition policy, see note 2c.</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170"/>
        <w:gridCol w:w="4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44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Grants from the Israel Innovation Authority (“IIA”)</w:t>
            </w:r>
          </w:p>
        </w:tc>
      </w:tr>
    </w:tbl>
    <w:p>
      <w:pPr>
        <w:pStyle w:val="TextBody"/>
        <w:bidi w:val="0"/>
        <w:spacing w:before="0" w:after="0"/>
        <w:ind w:left="1296"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Company’s funding from the IIA, royalties of 3% are payable on sales of products developed from a project so funded, up to a maximum amount equaling 100%-150% of the grants received (dollar linked) with the addition of interest at an annual rate based on LIBOR.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grants were received, successful development of the related projects was not assured. The total amount received through March 31, 2023 was $2,208 ($2,542 including interest).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the liability to the IIA was $96.</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expenses which are related to the funded project were recognized in cost of revenues in the relevant periods.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403" w:right="0" w:hanging="40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403" w:right="0" w:hanging="40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MARKETABLE SECURITIES:</w:t>
      </w:r>
    </w:p>
    <w:p>
      <w:pPr>
        <w:pStyle w:val="TextBody"/>
        <w:bidi w:val="0"/>
        <w:spacing w:before="0" w:after="0"/>
        <w:ind w:left="1560" w:right="0" w:hanging="156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marketable securities include investments in equity securities of DNA GROUP (T.R.) Ltd. (formerly D.N.A Biomedical Solutions Ltd.) (“DNA”), Entera Bio Ltd. (“Entera”) and in held to maturity securities.</w:t>
      </w:r>
    </w:p>
    <w:p>
      <w:pPr>
        <w:pStyle w:val="TextBody"/>
        <w:bidi w:val="0"/>
        <w:spacing w:before="0" w:after="0"/>
        <w:ind w:left="993"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75"/>
        <w:gridCol w:w="170"/>
        <w:gridCol w:w="11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1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w:t>
            </w:r>
          </w:p>
        </w:tc>
      </w:tr>
    </w:tbl>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3845"/>
        <w:gridCol w:w="60"/>
        <w:gridCol w:w="226"/>
        <w:gridCol w:w="904"/>
        <w:gridCol w:w="60"/>
        <w:gridCol w:w="60"/>
        <w:gridCol w:w="283"/>
        <w:gridCol w:w="1132"/>
        <w:gridCol w:w="75"/>
      </w:tblGrid>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2022</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b/>
              </w:rPr>
            </w:pPr>
            <w:r>
              <w:rPr>
                <w:b/>
              </w:rPr>
              <w:t>Short-term:</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DNA (see b below)</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352</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Entera (see c below)</w:t>
            </w:r>
          </w:p>
        </w:tc>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pPr>
            <w:r>
              <w:rPr/>
              <w:t>136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85</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Held to maturity securities (see d below)</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1,765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3,306</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 w:type="dxa"/>
            <w:tcBorders>
              <w:bottom w:val="double" w:sz="10" w:space="0" w:color="000000"/>
            </w:tcBorders>
            <w:tcMar>
              <w:bottom w:w="28" w:type="dxa"/>
            </w:tcMar>
            <w:vAlign w:val="center"/>
          </w:tcPr>
          <w:p>
            <w:pPr>
              <w:pStyle w:val="TableContents"/>
              <w:bidi w:val="0"/>
              <w:spacing w:before="0" w:after="283"/>
              <w:jc w:val="left"/>
              <w:rPr/>
            </w:pPr>
            <w:r>
              <w:rPr/>
              <w:t>$</w:t>
            </w:r>
          </w:p>
        </w:tc>
        <w:tc>
          <w:tcPr>
            <w:tcW w:w="904" w:type="dxa"/>
            <w:tcBorders>
              <w:bottom w:val="double" w:sz="10" w:space="0" w:color="000000"/>
            </w:tcBorders>
            <w:tcMar>
              <w:bottom w:w="28" w:type="dxa"/>
            </w:tcMar>
            <w:vAlign w:val="center"/>
          </w:tcPr>
          <w:p>
            <w:pPr>
              <w:pStyle w:val="TableContents"/>
              <w:bidi w:val="0"/>
              <w:spacing w:before="0" w:after="283"/>
              <w:jc w:val="right"/>
              <w:rPr/>
            </w:pPr>
            <w:r>
              <w:rPr/>
              <w:t>2,267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bottom w:val="double" w:sz="10" w:space="0" w:color="000000"/>
            </w:tcBorders>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tcMar>
              <w:bottom w:w="28" w:type="dxa"/>
            </w:tcMar>
            <w:vAlign w:val="center"/>
          </w:tcPr>
          <w:p>
            <w:pPr>
              <w:pStyle w:val="TableContents"/>
              <w:bidi w:val="0"/>
              <w:spacing w:before="0" w:after="283"/>
              <w:jc w:val="right"/>
              <w:rPr/>
            </w:pPr>
            <w:r>
              <w:rPr/>
              <w:t>3,743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418" w:right="0" w:hanging="0"/>
        <w:jc w:val="left"/>
        <w:rPr>
          <w:caps w:val="false"/>
          <w:smallCaps w:val="false"/>
        </w:rPr>
      </w:pPr>
      <w:r>
        <w:rPr>
          <w:caps w:val="false"/>
          <w:smallCaps w:val="false"/>
        </w:rPr>
        <w:t> </w:t>
      </w:r>
    </w:p>
    <w:tbl>
      <w:tblPr>
        <w:tblW w:w="685" w:type="dxa"/>
        <w:jc w:val="left"/>
        <w:tblInd w:w="0" w:type="dxa"/>
        <w:tblLayout w:type="fixed"/>
        <w:tblCellMar>
          <w:top w:w="0" w:type="dxa"/>
          <w:left w:w="0" w:type="dxa"/>
          <w:bottom w:w="0" w:type="dxa"/>
          <w:right w:w="0" w:type="dxa"/>
        </w:tblCellMar>
      </w:tblPr>
      <w:tblGrid>
        <w:gridCol w:w="75"/>
        <w:gridCol w:w="170"/>
        <w:gridCol w:w="4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4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DNA</w:t>
            </w:r>
          </w:p>
        </w:tc>
      </w:tr>
    </w:tbl>
    <w:p>
      <w:pPr>
        <w:pStyle w:val="TextBody"/>
        <w:bidi w:val="0"/>
        <w:spacing w:before="0" w:after="0"/>
        <w:ind w:left="1418"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DNA ordinary shares are traded on the Tel Aviv Stock Exchange. The fair value of those securities is measured at the quoted prices of the securities on the measurement date.</w:t>
      </w:r>
    </w:p>
    <w:p>
      <w:pPr>
        <w:pStyle w:val="TextBody"/>
        <w:bidi w:val="0"/>
        <w:spacing w:before="0" w:after="0"/>
        <w:ind w:left="1418"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 period ended March 31, 2023, the Company did not sell any of DNA’s ordinary shares. As of March 31, 2023, the Company owns approximately 1.4% of DNA’s outstanding ordinary shares.</w:t>
      </w:r>
    </w:p>
    <w:p>
      <w:pPr>
        <w:pStyle w:val="TextBody"/>
        <w:bidi w:val="0"/>
        <w:spacing w:before="0" w:after="0"/>
        <w:ind w:left="1418"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the securities as of both March 31, 2023 and December 31, 2022 was $595.</w:t>
      </w:r>
    </w:p>
    <w:p>
      <w:pPr>
        <w:pStyle w:val="TextBody"/>
        <w:bidi w:val="0"/>
        <w:spacing w:before="0" w:after="0"/>
        <w:ind w:left="1418"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0"/>
        <w:jc w:val="left"/>
        <w:rPr>
          <w:caps w:val="false"/>
          <w:smallCaps w:val="false"/>
        </w:rPr>
      </w:pPr>
      <w:r>
        <w:rPr>
          <w:caps w:val="false"/>
          <w:smallCaps w:val="false"/>
        </w:rPr>
        <w:t> </w:t>
      </w:r>
    </w:p>
    <w:p>
      <w:pPr>
        <w:pStyle w:val="TextBody"/>
        <w:bidi w:val="0"/>
        <w:spacing w:before="0" w:after="0"/>
        <w:ind w:left="403" w:right="0" w:hanging="40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403" w:right="0" w:hanging="40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1418"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4 - MARKETABLE SECURITIES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850" w:type="dxa"/>
        <w:jc w:val="left"/>
        <w:tblInd w:w="0" w:type="dxa"/>
        <w:tblLayout w:type="fixed"/>
        <w:tblCellMar>
          <w:top w:w="0" w:type="dxa"/>
          <w:left w:w="0" w:type="dxa"/>
          <w:bottom w:w="0" w:type="dxa"/>
          <w:right w:w="0" w:type="dxa"/>
        </w:tblCellMar>
      </w:tblPr>
      <w:tblGrid>
        <w:gridCol w:w="75"/>
        <w:gridCol w:w="155"/>
        <w:gridCol w:w="6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Entera</w:t>
            </w:r>
          </w:p>
        </w:tc>
      </w:tr>
    </w:tbl>
    <w:p>
      <w:pPr>
        <w:pStyle w:val="TextBody"/>
        <w:bidi w:val="0"/>
        <w:spacing w:before="0" w:after="0"/>
        <w:ind w:left="1418"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ordinary shares have been traded on The Nasdaq Capital Market since June 28, 2018. The Company measures the investment at fair value from such date, since it has a readily determinable fair value (prior to such date the investment was accounted for as a cost method investment (amounting to $1)).</w:t>
      </w:r>
    </w:p>
    <w:p>
      <w:pPr>
        <w:pStyle w:val="TextBody"/>
        <w:bidi w:val="0"/>
        <w:spacing w:before="0" w:after="0"/>
        <w:ind w:left="993"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22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Held to maturity securities</w:t>
            </w:r>
          </w:p>
        </w:tc>
      </w:tr>
    </w:tbl>
    <w:p>
      <w:pPr>
        <w:pStyle w:val="TextBody"/>
        <w:bidi w:val="0"/>
        <w:spacing w:before="0" w:after="0"/>
        <w:ind w:left="1134"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and estimated fair value of held to maturity securities as of March 31, 2023, were as follows:</w:t>
      </w:r>
    </w:p>
    <w:p>
      <w:pPr>
        <w:pStyle w:val="TextBody"/>
        <w:bidi w:val="0"/>
        <w:spacing w:before="0" w:after="0"/>
        <w:ind w:left="1276" w:right="0" w:hanging="0"/>
        <w:jc w:val="left"/>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1820"/>
        <w:gridCol w:w="60"/>
        <w:gridCol w:w="232"/>
        <w:gridCol w:w="928"/>
        <w:gridCol w:w="60"/>
        <w:gridCol w:w="60"/>
        <w:gridCol w:w="191"/>
        <w:gridCol w:w="1118"/>
        <w:gridCol w:w="95"/>
        <w:gridCol w:w="60"/>
        <w:gridCol w:w="208"/>
        <w:gridCol w:w="832"/>
        <w:gridCol w:w="60"/>
        <w:gridCol w:w="60"/>
        <w:gridCol w:w="115"/>
        <w:gridCol w:w="849"/>
        <w:gridCol w:w="230"/>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March 31, 2023</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Amortized </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gains (losses)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Estimated</w:t>
              <w:b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Average </w:t>
              <w:br/>
              <w:t xml:space="preserve">yield to </w:t>
              <w:br/>
              <w:t xml:space="preserve">maturity </w:t>
              <w:br/>
              <w:t>rate</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Short-term:</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Commercial bonds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1,698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0.84</w:t>
            </w:r>
          </w:p>
        </w:tc>
        <w:tc>
          <w:tcPr>
            <w:tcW w:w="230" w:type="dxa"/>
            <w:tcBorders/>
            <w:shd w:fill="CCEEFF" w:val="clear"/>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283"/>
              <w:jc w:val="left"/>
              <w:rPr/>
            </w:pPr>
            <w:r>
              <w:rPr/>
              <w:t>Accrued interest</w:t>
            </w:r>
          </w:p>
        </w:tc>
        <w:tc>
          <w:tcPr>
            <w:tcW w:w="60" w:type="dxa"/>
            <w:tcBorders/>
            <w:vAlign w:val="center"/>
          </w:tcPr>
          <w:p>
            <w:pPr>
              <w:pStyle w:val="TableContents"/>
              <w:bidi w:val="0"/>
              <w:spacing w:before="0" w:after="283"/>
              <w:jc w:val="left"/>
              <w:rPr/>
            </w:pPr>
            <w:r>
              <w:rPr/>
              <w:t>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c>
          <w:tcPr>
            <w:tcW w:w="928" w:type="dxa"/>
            <w:tcBorders>
              <w:bottom w:val="single" w:sz="12" w:space="0" w:color="000000"/>
            </w:tcBorders>
            <w:tcMar>
              <w:bottom w:w="28" w:type="dxa"/>
            </w:tcMar>
            <w:vAlign w:val="center"/>
          </w:tcPr>
          <w:p>
            <w:pPr>
              <w:pStyle w:val="TableContents"/>
              <w:bidi w:val="0"/>
              <w:spacing w:before="0" w:after="283"/>
              <w:jc w:val="right"/>
              <w:rPr/>
            </w:pPr>
            <w:r>
              <w:rPr/>
              <w:t>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tcMar>
              <w:bottom w:w="28" w:type="dxa"/>
            </w:tcMar>
            <w:vAlign w:val="center"/>
          </w:tcPr>
          <w:p>
            <w:pPr>
              <w:pStyle w:val="TableContents"/>
              <w:bidi w:val="0"/>
              <w:spacing w:before="0" w:after="0"/>
              <w:jc w:val="right"/>
              <w:rPr/>
            </w:pPr>
            <w:r>
              <w:rPr/>
              <w:t>            </w:t>
            </w: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832" w:type="dxa"/>
            <w:tcBorders>
              <w:bottom w:val="single" w:sz="12" w:space="0" w:color="000000"/>
            </w:tcBorders>
            <w:tcMar>
              <w:bottom w:w="28" w:type="dxa"/>
            </w:tcMar>
            <w:vAlign w:val="center"/>
          </w:tcPr>
          <w:p>
            <w:pPr>
              <w:pStyle w:val="TableContents"/>
              <w:bidi w:val="0"/>
              <w:spacing w:before="0" w:after="283"/>
              <w:jc w:val="right"/>
              <w:rPr/>
            </w:pPr>
            <w:r>
              <w:rPr/>
              <w:t>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8" w:type="dxa"/>
            <w:tcBorders>
              <w:bottom w:val="double" w:sz="10" w:space="0" w:color="000000"/>
            </w:tcBorders>
            <w:shd w:fill="CCEEFF" w:val="clear"/>
            <w:tcMar>
              <w:bottom w:w="28" w:type="dxa"/>
            </w:tcMar>
            <w:vAlign w:val="center"/>
          </w:tcPr>
          <w:p>
            <w:pPr>
              <w:pStyle w:val="TableContents"/>
              <w:bidi w:val="0"/>
              <w:spacing w:before="0" w:after="283"/>
              <w:jc w:val="right"/>
              <w:rPr/>
            </w:pPr>
            <w:r>
              <w:rPr/>
              <w:t>1,765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8" w:type="dxa"/>
            <w:tcBorders>
              <w:bottom w:val="double" w:sz="10" w:space="0" w:color="000000"/>
            </w:tcBorders>
            <w:shd w:fill="CCEEFF" w:val="clear"/>
            <w:tcMar>
              <w:bottom w:w="28" w:type="dxa"/>
            </w:tcM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2" w:type="dxa"/>
            <w:tcBorders>
              <w:bottom w:val="double" w:sz="10" w:space="0" w:color="000000"/>
            </w:tcBorders>
            <w:shd w:fill="CCEEFF" w:val="clear"/>
            <w:tcMar>
              <w:bottom w:w="28" w:type="dxa"/>
            </w:tcMar>
            <w:vAlign w:val="center"/>
          </w:tcPr>
          <w:p>
            <w:pPr>
              <w:pStyle w:val="TableContents"/>
              <w:bidi w:val="0"/>
              <w:spacing w:before="0" w:after="283"/>
              <w:jc w:val="right"/>
              <w:rPr/>
            </w:pPr>
            <w:r>
              <w:rPr/>
              <w:t>1,725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and estimated fair value of held to maturity securities as of December 31, 2022, were as follows:</w:t>
      </w:r>
    </w:p>
    <w:p>
      <w:pPr>
        <w:pStyle w:val="TextBody"/>
        <w:bidi w:val="0"/>
        <w:spacing w:before="0" w:after="0"/>
        <w:ind w:left="1276" w:right="0" w:hanging="0"/>
        <w:jc w:val="left"/>
        <w:rPr>
          <w:caps w:val="false"/>
          <w:smallCaps w:val="false"/>
        </w:rPr>
      </w:pPr>
      <w:r>
        <w:rPr>
          <w:caps w:val="false"/>
          <w:smallCaps w:val="false"/>
        </w:rPr>
        <w:t> </w:t>
      </w:r>
    </w:p>
    <w:tbl>
      <w:tblPr>
        <w:tblW w:w="6784" w:type="dxa"/>
        <w:jc w:val="left"/>
        <w:tblInd w:w="0" w:type="dxa"/>
        <w:tblLayout w:type="fixed"/>
        <w:tblCellMar>
          <w:top w:w="0" w:type="dxa"/>
          <w:left w:w="0" w:type="dxa"/>
          <w:bottom w:w="0" w:type="dxa"/>
          <w:right w:w="0" w:type="dxa"/>
        </w:tblCellMar>
      </w:tblPr>
      <w:tblGrid>
        <w:gridCol w:w="1820"/>
        <w:gridCol w:w="60"/>
        <w:gridCol w:w="232"/>
        <w:gridCol w:w="928"/>
        <w:gridCol w:w="60"/>
        <w:gridCol w:w="60"/>
        <w:gridCol w:w="191"/>
        <w:gridCol w:w="1118"/>
        <w:gridCol w:w="95"/>
        <w:gridCol w:w="60"/>
        <w:gridCol w:w="208"/>
        <w:gridCol w:w="832"/>
        <w:gridCol w:w="60"/>
        <w:gridCol w:w="60"/>
        <w:gridCol w:w="92"/>
        <w:gridCol w:w="678"/>
        <w:gridCol w:w="230"/>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Amortized </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gains (losses)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Estimated</w:t>
              <w:b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yield to</w:t>
              <w:br/>
              <w:t>maturity</w:t>
              <w:br/>
              <w:t>rate</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Short-term:</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Commercial bonds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3,258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2" w:type="dxa"/>
            <w:tcBorders/>
            <w:shd w:fill="CCEEFF" w:val="clear"/>
            <w:vAlign w:val="center"/>
          </w:tcPr>
          <w:p>
            <w:pPr>
              <w:pStyle w:val="TableContents"/>
              <w:bidi w:val="0"/>
              <w:spacing w:before="0" w:after="283"/>
              <w:jc w:val="right"/>
              <w:rPr/>
            </w:pPr>
            <w:r>
              <w:rPr/>
              <w:t>3,176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1.07</w:t>
            </w:r>
          </w:p>
        </w:tc>
        <w:tc>
          <w:tcPr>
            <w:tcW w:w="230" w:type="dxa"/>
            <w:tcBorders/>
            <w:shd w:fill="CCEEFF" w:val="clear"/>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283"/>
              <w:jc w:val="left"/>
              <w:rPr/>
            </w:pPr>
            <w:r>
              <w:rPr/>
              <w:t>Accrued interest</w:t>
            </w:r>
          </w:p>
        </w:tc>
        <w:tc>
          <w:tcPr>
            <w:tcW w:w="60" w:type="dxa"/>
            <w:tcBorders/>
            <w:vAlign w:val="center"/>
          </w:tcPr>
          <w:p>
            <w:pPr>
              <w:pStyle w:val="TableContents"/>
              <w:bidi w:val="0"/>
              <w:spacing w:before="0" w:after="283"/>
              <w:jc w:val="left"/>
              <w:rPr/>
            </w:pPr>
            <w:r>
              <w:rPr/>
              <w:t>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c>
          <w:tcPr>
            <w:tcW w:w="928" w:type="dxa"/>
            <w:tcBorders>
              <w:bottom w:val="single" w:sz="12" w:space="0" w:color="000000"/>
            </w:tcBorders>
            <w:tcMar>
              <w:bottom w:w="28" w:type="dxa"/>
            </w:tcMar>
            <w:vAlign w:val="center"/>
          </w:tcPr>
          <w:p>
            <w:pPr>
              <w:pStyle w:val="TableContents"/>
              <w:bidi w:val="0"/>
              <w:spacing w:before="0" w:after="283"/>
              <w:jc w:val="right"/>
              <w:rPr/>
            </w:pPr>
            <w:r>
              <w:rPr/>
              <w:t>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tcMar>
              <w:bottom w:w="28" w:type="dxa"/>
            </w:tcMar>
            <w:vAlign w:val="center"/>
          </w:tcPr>
          <w:p>
            <w:pPr>
              <w:pStyle w:val="TableContents"/>
              <w:bidi w:val="0"/>
              <w:spacing w:before="0" w:after="0"/>
              <w:jc w:val="right"/>
              <w:rPr/>
            </w:pPr>
            <w:r>
              <w:rPr/>
              <w:t>            </w:t>
            </w: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832" w:type="dxa"/>
            <w:tcBorders>
              <w:bottom w:val="single" w:sz="12" w:space="0" w:color="000000"/>
            </w:tcBorders>
            <w:tcMar>
              <w:bottom w:w="28" w:type="dxa"/>
            </w:tcMar>
            <w:vAlign w:val="center"/>
          </w:tcPr>
          <w:p>
            <w:pPr>
              <w:pStyle w:val="TableContents"/>
              <w:bidi w:val="0"/>
              <w:spacing w:before="0" w:after="283"/>
              <w:jc w:val="right"/>
              <w:rPr/>
            </w:pPr>
            <w:r>
              <w:rPr/>
              <w:t>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8" w:type="dxa"/>
            <w:tcBorders>
              <w:bottom w:val="double" w:sz="10" w:space="0" w:color="000000"/>
            </w:tcBorders>
            <w:shd w:fill="CCEEFF" w:val="clear"/>
            <w:tcMar>
              <w:bottom w:w="28" w:type="dxa"/>
            </w:tcMar>
            <w:vAlign w:val="center"/>
          </w:tcPr>
          <w:p>
            <w:pPr>
              <w:pStyle w:val="TableContents"/>
              <w:bidi w:val="0"/>
              <w:spacing w:before="0" w:after="283"/>
              <w:jc w:val="right"/>
              <w:rPr/>
            </w:pPr>
            <w:r>
              <w:rPr/>
              <w:t>3,306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8" w:type="dxa"/>
            <w:tcBorders>
              <w:bottom w:val="double" w:sz="10" w:space="0" w:color="000000"/>
            </w:tcBorders>
            <w:shd w:fill="CCEEFF" w:val="clear"/>
            <w:tcMar>
              <w:bottom w:w="28" w:type="dxa"/>
            </w:tcM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2" w:type="dxa"/>
            <w:tcBorders>
              <w:bottom w:val="double" w:sz="10" w:space="0" w:color="000000"/>
            </w:tcBorders>
            <w:shd w:fill="CCEEFF" w:val="clear"/>
            <w:tcMar>
              <w:bottom w:w="28" w:type="dxa"/>
            </w:tcMar>
            <w:vAlign w:val="center"/>
          </w:tcPr>
          <w:p>
            <w:pPr>
              <w:pStyle w:val="TableContents"/>
              <w:bidi w:val="0"/>
              <w:spacing w:before="0" w:after="283"/>
              <w:jc w:val="right"/>
              <w:rPr/>
            </w:pPr>
            <w:r>
              <w:rPr/>
              <w:t>3,224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18"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Held to maturity securities which will mature during the 12 months from the balance sheet date are included in short-term marketable securities.</w:t>
      </w:r>
    </w:p>
    <w:p>
      <w:pPr>
        <w:pStyle w:val="TextBody"/>
        <w:bidi w:val="0"/>
        <w:spacing w:before="0" w:after="0"/>
        <w:ind w:left="1418"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0"/>
        <w:jc w:val="left"/>
        <w:rPr>
          <w:caps w:val="false"/>
          <w:smallCaps w:val="false"/>
        </w:rPr>
      </w:pPr>
      <w:r>
        <w:rPr>
          <w:caps w:val="false"/>
          <w:smallCaps w:val="false"/>
        </w:rPr>
        <w:t> </w:t>
      </w:r>
    </w:p>
    <w:p>
      <w:pPr>
        <w:pStyle w:val="TextBody"/>
        <w:bidi w:val="0"/>
        <w:spacing w:before="0" w:after="0"/>
        <w:ind w:left="403" w:right="0" w:hanging="40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403" w:right="0" w:hanging="40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STOCKHOLDERS’ EQUITY:</w:t>
      </w:r>
    </w:p>
    <w:p>
      <w:pPr>
        <w:pStyle w:val="TextBody"/>
        <w:bidi w:val="0"/>
        <w:spacing w:before="0" w:after="0"/>
        <w:ind w:left="1636"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2021, the Company entered into a controlled equity offering agreement (the “Cantor Equity Distribution Agreement”) with Cantor Fitzgerald &amp; Co., as agent, pursuant to which the Company may issue and sell shares of its common stock having an aggregate offering price of up to $100,000, through a sales agent, subject to certain terms and conditions. Any shares sold will be sold pursuant to the Company’s effective shelf registration statement on Form S-3 including a prospectus dated July 26, 2021 and prospectus supplement dated September 1, 2021. The Company paid the sales agent a cash commission of 3.0% of the gross proceeds of the sale of any shares sold through the sales agent under the Cantor Equity Distribution Agreement. As of March 31, 2023 and May 11, 2023, 1,971,447 shares were issued under the Cantor Equity Distribution Agreement for aggregate net proceeds of $26,253.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various operating leases for office space and vehicles that expire through 2027. Below is a summary of the Company’s operating right-of-use assets and operating lease liabilities as of March 31, 2023 and December 31, 2022:</w:t>
      </w:r>
    </w:p>
    <w:p>
      <w:pPr>
        <w:pStyle w:val="TextBody"/>
        <w:bidi w:val="0"/>
        <w:spacing w:before="0" w:after="0"/>
        <w:ind w:left="0" w:right="0" w:hanging="0"/>
        <w:jc w:val="left"/>
        <w:rPr>
          <w:caps w:val="false"/>
          <w:smallCaps w:val="false"/>
        </w:rPr>
      </w:pPr>
      <w:r>
        <w:rPr>
          <w:caps w:val="false"/>
          <w:smallCaps w:val="false"/>
        </w:rPr>
        <w:t> </w:t>
      </w:r>
    </w:p>
    <w:tbl>
      <w:tblPr>
        <w:tblW w:w="5984" w:type="dxa"/>
        <w:jc w:val="left"/>
        <w:tblInd w:w="0" w:type="dxa"/>
        <w:tblLayout w:type="fixed"/>
        <w:tblCellMar>
          <w:top w:w="0" w:type="dxa"/>
          <w:left w:w="0" w:type="dxa"/>
          <w:bottom w:w="0" w:type="dxa"/>
          <w:right w:w="0" w:type="dxa"/>
        </w:tblCellMar>
      </w:tblPr>
      <w:tblGrid>
        <w:gridCol w:w="3380"/>
        <w:gridCol w:w="60"/>
        <w:gridCol w:w="250"/>
        <w:gridCol w:w="684"/>
        <w:gridCol w:w="60"/>
        <w:gridCol w:w="60"/>
        <w:gridCol w:w="380"/>
        <w:gridCol w:w="1035"/>
        <w:gridCol w:w="75"/>
      </w:tblGrid>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2022</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Operating right-of-use assets</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pPr>
            <w:r>
              <w:rPr/>
              <w:t>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35" w:type="dxa"/>
            <w:tcBorders>
              <w:bottom w:val="single" w:sz="12" w:space="0" w:color="000000"/>
            </w:tcBorders>
            <w:shd w:fill="CCEEFF" w:val="clear"/>
            <w:tcMar>
              <w:bottom w:w="28" w:type="dxa"/>
            </w:tcMar>
            <w:vAlign w:val="center"/>
          </w:tcPr>
          <w:p>
            <w:pPr>
              <w:pStyle w:val="TableContents"/>
              <w:bidi w:val="0"/>
              <w:spacing w:before="0" w:after="283"/>
              <w:jc w:val="right"/>
              <w:rPr/>
            </w:pPr>
            <w:r>
              <w:rPr/>
              <w:t>987</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247</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both"/>
              <w:rPr/>
            </w:pPr>
            <w:r>
              <w:rPr/>
              <w:t>Operating lease liabilities long-term</w:t>
            </w:r>
          </w:p>
        </w:tc>
        <w:tc>
          <w:tcPr>
            <w:tcW w:w="60" w:type="dxa"/>
            <w:tcBorders/>
            <w:vAlign w:val="center"/>
          </w:tcPr>
          <w:p>
            <w:pPr>
              <w:pStyle w:val="TableContents"/>
              <w:bidi w:val="0"/>
              <w:spacing w:before="0" w:after="283"/>
              <w:jc w:val="left"/>
              <w:rPr/>
            </w:pPr>
            <w:r>
              <w:rPr/>
              <w:t> </w:t>
            </w:r>
          </w:p>
        </w:tc>
        <w:tc>
          <w:tcPr>
            <w:tcW w:w="25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tcMar>
              <w:bottom w:w="28" w:type="dxa"/>
            </w:tcMar>
            <w:vAlign w:val="center"/>
          </w:tcPr>
          <w:p>
            <w:pPr>
              <w:pStyle w:val="TableContents"/>
              <w:bidi w:val="0"/>
              <w:spacing w:before="0" w:after="283"/>
              <w:jc w:val="right"/>
              <w:rPr/>
            </w:pPr>
            <w:r>
              <w:rPr/>
              <w:t>564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5" w:type="dxa"/>
            <w:tcBorders>
              <w:bottom w:val="single" w:sz="12" w:space="0" w:color="000000"/>
            </w:tcBorders>
            <w:tcMar>
              <w:bottom w:w="28" w:type="dxa"/>
            </w:tcMar>
            <w:vAlign w:val="center"/>
          </w:tcPr>
          <w:p>
            <w:pPr>
              <w:pStyle w:val="TableContents"/>
              <w:bidi w:val="0"/>
              <w:spacing w:before="0" w:after="283"/>
              <w:jc w:val="right"/>
              <w:rPr/>
            </w:pPr>
            <w:r>
              <w:rPr/>
              <w:t>647</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2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4" w:type="dxa"/>
            <w:tcBorders>
              <w:bottom w:val="double" w:sz="10" w:space="0" w:color="000000"/>
            </w:tcBorders>
            <w:shd w:fill="CCEEFF" w:val="clear"/>
            <w:tcMar>
              <w:bottom w:w="28" w:type="dxa"/>
            </w:tcMar>
            <w:vAlign w:val="center"/>
          </w:tcPr>
          <w:p>
            <w:pPr>
              <w:pStyle w:val="TableContents"/>
              <w:bidi w:val="0"/>
              <w:spacing w:before="0" w:after="283"/>
              <w:jc w:val="right"/>
              <w:rPr/>
            </w:pPr>
            <w:r>
              <w:rPr/>
              <w:t>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5" w:type="dxa"/>
            <w:tcBorders>
              <w:bottom w:val="double" w:sz="10" w:space="0" w:color="000000"/>
            </w:tcBorders>
            <w:shd w:fill="CCEEFF" w:val="clear"/>
            <w:tcMar>
              <w:bottom w:w="28" w:type="dxa"/>
            </w:tcMar>
            <w:vAlign w:val="center"/>
          </w:tcPr>
          <w:p>
            <w:pPr>
              <w:pStyle w:val="TableContents"/>
              <w:bidi w:val="0"/>
              <w:spacing w:before="0" w:after="283"/>
              <w:jc w:val="right"/>
              <w:rPr/>
            </w:pPr>
            <w:r>
              <w:rPr/>
              <w:t>894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payments for the Company’s right-of-use assets over the remaining lease periods as of March 31, 2023 and December 31, 2022 are as follows:</w:t>
      </w:r>
    </w:p>
    <w:p>
      <w:pPr>
        <w:pStyle w:val="TextBody"/>
        <w:bidi w:val="0"/>
        <w:spacing w:before="0" w:after="0"/>
        <w:ind w:left="360" w:right="0" w:hanging="0"/>
        <w:jc w:val="both"/>
        <w:rPr>
          <w:caps w:val="false"/>
          <w:smallCaps w:val="false"/>
        </w:rPr>
      </w:pPr>
      <w:r>
        <w:rPr>
          <w:caps w:val="false"/>
          <w:smallCaps w:val="false"/>
        </w:rPr>
        <w:t> </w:t>
      </w:r>
    </w:p>
    <w:tbl>
      <w:tblPr>
        <w:tblW w:w="6008" w:type="dxa"/>
        <w:jc w:val="left"/>
        <w:tblInd w:w="0" w:type="dxa"/>
        <w:tblLayout w:type="fixed"/>
        <w:tblCellMar>
          <w:top w:w="0" w:type="dxa"/>
          <w:left w:w="0" w:type="dxa"/>
          <w:bottom w:w="0" w:type="dxa"/>
          <w:right w:w="0" w:type="dxa"/>
        </w:tblCellMar>
      </w:tblPr>
      <w:tblGrid>
        <w:gridCol w:w="3335"/>
        <w:gridCol w:w="60"/>
        <w:gridCol w:w="250"/>
        <w:gridCol w:w="684"/>
        <w:gridCol w:w="95"/>
        <w:gridCol w:w="60"/>
        <w:gridCol w:w="380"/>
        <w:gridCol w:w="1034"/>
        <w:gridCol w:w="110"/>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2022</w:t>
            </w:r>
          </w:p>
        </w:tc>
        <w:tc>
          <w:tcPr>
            <w:tcW w:w="11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2023</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291</w:t>
            </w:r>
          </w:p>
        </w:tc>
        <w:tc>
          <w:tcPr>
            <w:tcW w:w="110"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2024</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283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291</w:t>
            </w:r>
          </w:p>
        </w:tc>
        <w:tc>
          <w:tcPr>
            <w:tcW w:w="11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228</w:t>
            </w:r>
          </w:p>
        </w:tc>
        <w:tc>
          <w:tcPr>
            <w:tcW w:w="110"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2026</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120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124</w:t>
            </w:r>
          </w:p>
        </w:tc>
        <w:tc>
          <w:tcPr>
            <w:tcW w:w="11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Total undiscounted lease payments</w:t>
            </w:r>
          </w:p>
        </w:tc>
        <w:tc>
          <w:tcPr>
            <w:tcW w:w="60" w:type="dxa"/>
            <w:tcBorders/>
            <w:vAlign w:val="center"/>
          </w:tcPr>
          <w:p>
            <w:pPr>
              <w:pStyle w:val="TableContents"/>
              <w:bidi w:val="0"/>
              <w:spacing w:before="0" w:after="283"/>
              <w:jc w:val="left"/>
              <w:rPr/>
            </w:pPr>
            <w:r>
              <w:rPr/>
              <w:t> </w:t>
            </w:r>
          </w:p>
        </w:tc>
        <w:tc>
          <w:tcPr>
            <w:tcW w:w="25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tcMar>
              <w:bottom w:w="28" w:type="dxa"/>
            </w:tcMar>
            <w:vAlign w:val="center"/>
          </w:tcPr>
          <w:p>
            <w:pPr>
              <w:pStyle w:val="TableContents"/>
              <w:bidi w:val="0"/>
              <w:spacing w:before="0" w:after="283"/>
              <w:jc w:val="right"/>
              <w:rPr/>
            </w:pPr>
            <w:r>
              <w:rPr/>
              <w:t>847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tcMar>
              <w:bottom w:w="28" w:type="dxa"/>
            </w:tcMar>
            <w:vAlign w:val="center"/>
          </w:tcPr>
          <w:p>
            <w:pPr>
              <w:pStyle w:val="TableContents"/>
              <w:bidi w:val="0"/>
              <w:spacing w:before="0" w:after="283"/>
              <w:jc w:val="right"/>
              <w:rPr/>
            </w:pPr>
            <w:r>
              <w:rPr/>
              <w:t>944</w:t>
            </w:r>
          </w:p>
        </w:tc>
        <w:tc>
          <w:tcPr>
            <w:tcW w:w="11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Less: Interest*</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(50</w:t>
            </w:r>
          </w:p>
        </w:tc>
        <w:tc>
          <w:tcPr>
            <w:tcW w:w="110" w:type="dxa"/>
            <w:tcBorders/>
            <w:shd w:fill="CCEEFF" w:val="clear"/>
            <w:vAlign w:val="center"/>
          </w:tcPr>
          <w:p>
            <w:pPr>
              <w:pStyle w:val="TableContents"/>
              <w:bidi w:val="0"/>
              <w:spacing w:before="0" w:after="283"/>
              <w:jc w:val="left"/>
              <w:rPr/>
            </w:pPr>
            <w:r>
              <w:rPr/>
              <w:t>)</w:t>
            </w:r>
          </w:p>
        </w:tc>
      </w:tr>
      <w:tr>
        <w:trPr/>
        <w:tc>
          <w:tcPr>
            <w:tcW w:w="3335" w:type="dxa"/>
            <w:tcBorders/>
            <w:vAlign w:val="center"/>
          </w:tcPr>
          <w:p>
            <w:pPr>
              <w:pStyle w:val="TableContents"/>
              <w:bidi w:val="0"/>
              <w:spacing w:before="0" w:after="283"/>
              <w:jc w:val="left"/>
              <w:rPr/>
            </w:pPr>
            <w:r>
              <w:rPr/>
              <w:t>Present value of lease liabilities</w:t>
            </w:r>
          </w:p>
        </w:tc>
        <w:tc>
          <w:tcPr>
            <w:tcW w:w="60" w:type="dxa"/>
            <w:tcBorders/>
            <w:vAlign w:val="center"/>
          </w:tcPr>
          <w:p>
            <w:pPr>
              <w:pStyle w:val="TableContents"/>
              <w:bidi w:val="0"/>
              <w:spacing w:before="0" w:after="283"/>
              <w:jc w:val="left"/>
              <w:rPr/>
            </w:pPr>
            <w:r>
              <w:rPr/>
              <w:t> </w:t>
            </w:r>
          </w:p>
        </w:tc>
        <w:tc>
          <w:tcPr>
            <w:tcW w:w="250" w:type="dxa"/>
            <w:tcBorders>
              <w:bottom w:val="double" w:sz="10" w:space="0" w:color="000000"/>
            </w:tcBorders>
            <w:tcMar>
              <w:bottom w:w="28" w:type="dxa"/>
            </w:tcMar>
            <w:vAlign w:val="center"/>
          </w:tcPr>
          <w:p>
            <w:pPr>
              <w:pStyle w:val="TableContents"/>
              <w:bidi w:val="0"/>
              <w:spacing w:before="0" w:after="283"/>
              <w:jc w:val="left"/>
              <w:rPr/>
            </w:pPr>
            <w:r>
              <w:rPr/>
              <w:t>$</w:t>
            </w:r>
          </w:p>
        </w:tc>
        <w:tc>
          <w:tcPr>
            <w:tcW w:w="684" w:type="dxa"/>
            <w:tcBorders>
              <w:bottom w:val="double" w:sz="10" w:space="0" w:color="000000"/>
            </w:tcBorders>
            <w:tcMar>
              <w:bottom w:w="28" w:type="dxa"/>
            </w:tcMar>
            <w:vAlign w:val="center"/>
          </w:tcPr>
          <w:p>
            <w:pPr>
              <w:pStyle w:val="TableContents"/>
              <w:bidi w:val="0"/>
              <w:spacing w:before="0" w:after="283"/>
              <w:jc w:val="right"/>
              <w:rPr/>
            </w:pPr>
            <w:r>
              <w:rPr/>
              <w:t>806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bottom w:val="double" w:sz="10" w:space="0" w:color="000000"/>
            </w:tcBorders>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tcMar>
              <w:bottom w:w="28" w:type="dxa"/>
            </w:tcMar>
            <w:vAlign w:val="center"/>
          </w:tcPr>
          <w:p>
            <w:pPr>
              <w:pStyle w:val="TableContents"/>
              <w:bidi w:val="0"/>
              <w:spacing w:before="0" w:after="283"/>
              <w:jc w:val="right"/>
              <w:rPr/>
            </w:pPr>
            <w:r>
              <w:rPr/>
              <w:t>894</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25"/>
        <w:gridCol w:w="5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lease payments were discounted by 3%-5.75% interest rate.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03" w:right="0" w:hanging="40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403" w:right="0" w:hanging="40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2008, the Subsidiary entered into two consulting agreements with KNRY Ltd. (“KNRY”), an Israeli company owned by the Chief Scientific Officer, whereby the President and Chief Executive Officer and the Chief Scientific Officer, through KNRY, provide services to the Company (the “Consulting Agreements”). The Consulting Agreements are both terminable by either party upon 140 days prior written notice. The Consulting Agreements, as amended, provide that KNRY will be reimbursed for reasonable expenses incurred in connection with the performance of the Consulting Agreements and that the monthly consulting fee paid to the President and Chief Executive Officer and the Chief Scientific Officer is NIS 146,705 ($41) and NIS 106,400 ($29), respectively.</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Consulting Agreements, based on a relocation cost analysis, the Company paid for certain direct costs, related taxes and expenses incurred in connection with the relocation of the President and Chief Executive Officer to the U.S. During the three months ended March 31, 2023, there were no such relocation expenses, compared to $143 for the three months ended March 31, 2022.</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relocation of the President and Chief Executive Officer to the State of Israel, the Company entered into two agreements with the President and Chief Executive Officer, replacing his above-mentioned consulting agreement through KNRY, substantially on the same terms, in order to allocate his time and services between the Company and the Subsidiary.</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November 1, 2022, the Company entered into a consulting agreement with Shnida Ltd., whereby the President and Chief Executive Officer, through Shnida Ltd., provides services as President and Chief Executive Officer of the Company. The agreement is terminable by either party upon 140 days prior written notice. The agreement provides that Shnida Ltd. will be reimbursed for reasonable expenses incurred in connection with performance of the agreement and that the President and Chief Executive Officer will receive a monthly consulting fee of NIS 88,023 ($24), plus value added tax. Pursuant to the agreement, Shnida Ltd. and the President and Chief Executive Officer each agree that during the term of the agreement and for a 12-month period thereafter, none of them will compete with the Company nor solicit employees of the Company.</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through the Subsidiary, has entered into an employment agreement with the President and Chief Executive Officer, effective as of November 1, 2022, pursuant to which the President and Chief Executive Officer receives gross monthly salary of NIS 46,901 ($13) in consideration for his services as President and Chief Executive Officer of the Subsidiary. In addition, the President and Chief Executive Officer is provided with a cellular phone and a company car pursuant to the terms of 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SUBSEQUENT EVENTS: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2023, the Company granted an aggregate of 868,500 RSUs representing a right to receive shares of the Company’s common stock to executive officers and board members of the Company. The RSUs will vest in twelve equal quarterly installments starting May 1, 2023. The total fair value of these RSUs on the date of grant was $1,980, using the quoted closing market share price of $2.28 on the Nasdaq Capital Market on the date of grant.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99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2023, the Company granted an aggregate of 245,500 performance based RSUs (“PSUs”) representing a right to receive shares of the Company’s common stock to executive officers of the Company. The PSUs will vest upon the Company’s common stock achieving and maintaining a specified price per share. The total fair value of these PSUs on the date of grant was $550, using the Monte-Carlo model.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99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the Company granted an aggregate of 20,000 RSUs representing a right to receive shares of the Company’s common stock to a board member. The RSUs will vest in twelve quarterly installments starting May 1, 2023. The total fair value of these RSUs on the date of grant was $49, using the quoted closing market share price of $2.45 on the Nasdaq Capital Market on the date of grant.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3"/>
      <w:bookmarkEnd w:id="9"/>
      <w:r>
        <w:rPr>
          <w:rFonts w:ascii="Times New Roman;Times;Serif" w:hAnsi="Times New Roman;Times;Serif"/>
          <w:b/>
          <w:i w:val="false"/>
          <w:caps w:val="false"/>
          <w:smallCaps w:val="false"/>
          <w:sz w:val="20"/>
        </w:rPr>
        <w:t>ITEM 2 -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the condensed consolidated financial statements and the related notes included elsewhere herein and in our consolidated financial statements, accompanying notes and “Management’s Discussion and Analysis of Financial Condition and Results of Operations” contained in our Annual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 pharmaceutical company engaged in the research and development of innovative pharmaceutical solutions with a technology platform that allows for the oral delivery of therapeutic proteins.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 oral dosage form intended to withstand the harsh environment of the stomach and effectively deliver active biological insulin or other proteins. The excipients in the formulation are not intended to modify the proteins chemically or biologically, and the dosage form is designed to be safe to ingest.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2023, we announced that the ORA-D-013-1 Phase 3 trial did not meet its primary or secondary endpoints. As a result, we terminated this trial and a parallel Phase 3, ORA-D-013-2 clinical trial. We have also initiated a comprehensive analysis of the data of both of these trials, to understand if there is a path forward for our oral insulin candidate. Concurrently, we are examining our existing pipeline and have commenced an evaluation process of potential strategic opportunities, with the goal of enhancing value for our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Oral Insulin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Type 2 Diabetes</w:t>
      </w:r>
      <w:r>
        <w:rPr>
          <w:rFonts w:ascii="Times New Roman;Times;Serif" w:hAnsi="Times New Roman;Times;Serif"/>
          <w:b w:val="false"/>
          <w:i w:val="false"/>
          <w:caps w:val="false"/>
          <w:smallCaps w:val="false"/>
          <w:sz w:val="20"/>
        </w:rPr>
        <w:t>: We conducted the ORA-D-013-1 Phase 3 trial on patients with type 2 diabetes, or T2D, with inadequate glycaemic control who were on two or three oral glucose-lowering agents. The primary endpoint of the trial was to evaluate the efficacy of our oral insulin capsule, ORMD-0801, compared to placebo in improving glycaemic control as assessed by HbA1c, with a secondary efficacy endpoint of assessing the change from baseline in fasting plasma glucose at 26 weeks. On January 11, 2023, we announced that the ORA-D-013-1 Phase 3 trial did not meet its primary and secondary endpoints. Following the results of the ORA-D-013-1 Phase 3 trial, we also terminated the ORA-D-013-2 Phase 3 trial, a second Phase 3 trial that included T2D patients with inadequate glycaemic control who were attempting to manage their condition with either diet alone or with diet and metformin.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NASH</w:t>
      </w:r>
      <w:r>
        <w:rPr>
          <w:rFonts w:ascii="Times New Roman;Times;Serif" w:hAnsi="Times New Roman;Times;Serif"/>
          <w:b w:val="false"/>
          <w:i w:val="false"/>
          <w:caps w:val="false"/>
          <w:smallCaps w:val="false"/>
          <w:sz w:val="20"/>
        </w:rPr>
        <w:t>: In December 2020, we initiated a double blind, placebo controlled clinical trial of ORMD-0801 for the treatment of non-alcoholic steatohepatitis, or NASH, in T2D. On September 13, 2022, we reported positive top line results from this trial, demonstrating that ORMD-0801 was safe and well tolerated at 8 mg twice daily dosing, meeting the primary endpoint of no difference in adverse events for ORMD-0801 compared to placebo. The trial also evaluated the effectiveness of ORMD-0801 in reducing liver fat content over the 12-week treatment period by observing several independent measures. All the measurements showed a consistent clinically meaningful trend in favor of ORMD-0801. We are currently evaluating our path forward for ORMD-0801 for NASH.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Oral Vaccine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2021, we formed Oravax, a 63% owned joint venture to commercialize oral vaccines for COVID-19 and other novel coronaviruses based on Premas Biotech Pvt. Ltd.’s proprietary vaccine technology involving a triple antigen virus like particle. Effective January 1, 2022, Oravax transferred its rights and obligations to its wholly-owned subsidiary, Oravax Medical Ltd. For further details, see note 12 to the audited consolidated financial statements included in our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Oravax commenced a Phase 1 clinical trial, which was divided into two cohorts each comprised of 12 participants. In October 2022, Oravax reported positive preliminary Phase 1 data for Cohort A of this trial, meeting primary and secondary endpoints of safety and immunogenicity. These results included significant antibody response (2-6 fold over baseline) as measured by multiple markers of immune response to VLP vaccine antigens observed in the majority of the patients dosed, and no safety issues were observed, including mild symptoms. Cohort B completed dosing on January 5, 2023 and data is expected in the first half of 2023.</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three month period ended March 31, 2023 and March 31, 2022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certain statements of operations data of the Company for the three month periods ended March 31, 2023 and March 31, 2022 (in thousands of dollars except share and per share data):</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70"/>
        <w:gridCol w:w="60"/>
        <w:gridCol w:w="140"/>
        <w:gridCol w:w="1100"/>
        <w:gridCol w:w="60"/>
        <w:gridCol w:w="60"/>
        <w:gridCol w:w="140"/>
        <w:gridCol w:w="1100"/>
        <w:gridCol w:w="75"/>
      </w:tblGrid>
      <w:tr>
        <w:trPr/>
        <w:tc>
          <w:tcPr>
            <w:tcW w:w="7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7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2022</w:t>
            </w:r>
          </w:p>
        </w:tc>
        <w:tc>
          <w:tcPr>
            <w:tcW w:w="75" w:type="dxa"/>
            <w:tcBorders/>
            <w:vAlign w:val="center"/>
          </w:tcPr>
          <w:p>
            <w:pPr>
              <w:pStyle w:val="TableContents"/>
              <w:bidi w:val="0"/>
              <w:spacing w:before="0" w:after="283"/>
              <w:ind w:left="0" w:right="0" w:hanging="180"/>
              <w:jc w:val="left"/>
              <w:rPr/>
            </w:pPr>
            <w:r>
              <w:rPr/>
              <w:t> </w:t>
            </w:r>
          </w:p>
        </w:tc>
      </w:tr>
      <w:tr>
        <w:trPr/>
        <w:tc>
          <w:tcPr>
            <w:tcW w:w="747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666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470" w:type="dxa"/>
            <w:tcBorders/>
            <w:vAlign w:val="center"/>
          </w:tcPr>
          <w:p>
            <w:pPr>
              <w:pStyle w:val="TableContents"/>
              <w:bidi w:val="0"/>
              <w:spacing w:before="0" w:after="283"/>
              <w:jc w:val="left"/>
              <w:rPr/>
            </w:pPr>
            <w:r>
              <w:rPr/>
              <w:t>Cost of revenues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ind w:left="0" w:right="0" w:hanging="180"/>
              <w:jc w:val="left"/>
              <w:rPr/>
            </w:pPr>
            <w:r>
              <w:rPr/>
              <w:t> </w:t>
            </w:r>
          </w:p>
        </w:tc>
      </w:tr>
      <w:tr>
        <w:trPr/>
        <w:tc>
          <w:tcPr>
            <w:tcW w:w="7470"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5,836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470" w:type="dxa"/>
            <w:tcBorders/>
            <w:vAlign w:val="center"/>
          </w:tcPr>
          <w:p>
            <w:pPr>
              <w:pStyle w:val="TableContents"/>
              <w:bidi w:val="0"/>
              <w:spacing w:before="0" w:after="283"/>
              <w:jc w:val="left"/>
              <w:rPr/>
            </w:pPr>
            <w:r>
              <w:rPr/>
              <w:t>Sales and marketing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590</w:t>
            </w:r>
          </w:p>
        </w:tc>
        <w:tc>
          <w:tcPr>
            <w:tcW w:w="75" w:type="dxa"/>
            <w:tcBorders/>
            <w:vAlign w:val="center"/>
          </w:tcPr>
          <w:p>
            <w:pPr>
              <w:pStyle w:val="TableContents"/>
              <w:bidi w:val="0"/>
              <w:spacing w:before="0" w:after="283"/>
              <w:ind w:left="0" w:right="0" w:hanging="180"/>
              <w:jc w:val="left"/>
              <w:rPr/>
            </w:pPr>
            <w:r>
              <w:rPr/>
              <w:t> </w:t>
            </w:r>
          </w:p>
        </w:tc>
      </w:tr>
      <w:tr>
        <w:trPr/>
        <w:tc>
          <w:tcPr>
            <w:tcW w:w="747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5,492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470" w:type="dxa"/>
            <w:tcBorders/>
            <w:vAlign w:val="center"/>
          </w:tcPr>
          <w:p>
            <w:pPr>
              <w:pStyle w:val="TableContents"/>
              <w:bidi w:val="0"/>
              <w:spacing w:before="0" w:after="283"/>
              <w:jc w:val="left"/>
              <w:rPr/>
            </w:pPr>
            <w:r>
              <w:rPr/>
              <w:t>Financial income,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544</w:t>
            </w:r>
          </w:p>
        </w:tc>
        <w:tc>
          <w:tcPr>
            <w:tcW w:w="75" w:type="dxa"/>
            <w:tcBorders/>
            <w:vAlign w:val="center"/>
          </w:tcPr>
          <w:p>
            <w:pPr>
              <w:pStyle w:val="TableContents"/>
              <w:bidi w:val="0"/>
              <w:spacing w:before="0" w:after="283"/>
              <w:ind w:left="0" w:right="0" w:hanging="180"/>
              <w:jc w:val="left"/>
              <w:rPr/>
            </w:pPr>
            <w:r>
              <w:rPr/>
              <w:t> </w:t>
            </w:r>
          </w:p>
        </w:tc>
      </w:tr>
      <w:tr>
        <w:trPr/>
        <w:tc>
          <w:tcPr>
            <w:tcW w:w="7470" w:type="dxa"/>
            <w:tcBorders/>
            <w:shd w:fill="CCEEFF" w:val="clear"/>
            <w:vAlign w:val="center"/>
          </w:tcPr>
          <w:p>
            <w:pPr>
              <w:pStyle w:val="TableContents"/>
              <w:bidi w:val="0"/>
              <w:spacing w:before="0" w:after="283"/>
              <w:jc w:val="left"/>
              <w:rPr/>
            </w:pPr>
            <w:r>
              <w:rPr/>
              <w:t>Net loss for the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10,708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470" w:type="dxa"/>
            <w:tcBorders/>
            <w:vAlign w:val="center"/>
          </w:tcPr>
          <w:p>
            <w:pPr>
              <w:pStyle w:val="TableContents"/>
              <w:bidi w:val="0"/>
              <w:spacing w:before="0" w:after="283"/>
              <w:jc w:val="left"/>
              <w:rPr/>
            </w:pPr>
            <w:r>
              <w:rPr/>
              <w:t>Basic and diluted loss per share of common stock</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0.27</w:t>
            </w:r>
          </w:p>
        </w:tc>
        <w:tc>
          <w:tcPr>
            <w:tcW w:w="75" w:type="dxa"/>
            <w:tcBorders/>
            <w:vAlign w:val="center"/>
          </w:tcPr>
          <w:p>
            <w:pPr>
              <w:pStyle w:val="TableContents"/>
              <w:bidi w:val="0"/>
              <w:spacing w:before="0" w:after="283"/>
              <w:ind w:left="0" w:right="0" w:hanging="180"/>
              <w:jc w:val="left"/>
              <w:rPr/>
            </w:pPr>
            <w:r>
              <w:rPr/>
              <w:t> </w:t>
            </w:r>
          </w:p>
        </w:tc>
      </w:tr>
      <w:tr>
        <w:trPr/>
        <w:tc>
          <w:tcPr>
            <w:tcW w:w="7470" w:type="dxa"/>
            <w:tcBorders/>
            <w:shd w:fill="CCEEFF" w:val="clear"/>
            <w:vAlign w:val="center"/>
          </w:tcPr>
          <w:p>
            <w:pPr>
              <w:pStyle w:val="TableContents"/>
              <w:bidi w:val="0"/>
              <w:spacing w:before="0" w:after="283"/>
              <w:jc w:val="left"/>
              <w:rPr/>
            </w:pPr>
            <w:r>
              <w:rPr/>
              <w:t>Weighted average shares of common stock outstanding used in computing basic and diluted loss per share of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40,041,258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38,679,622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consist of proceeds related to the HTIT License Agreement that are recognized on a cumulative basis when it is probable that a significant reversal in the amount of cumulative revenue recognized will not occur, through the expected product submission date by HTIT of June 2023, using the input method.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$666,000 for each of the three month periods ended March 31, 2023 and March 31, 2022.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consists of royalties related to the HTIT License Agreement that will be paid over the term of the HTIT License Agreement in accordance with revenue recognition accounting and the Israeli Law for the Encouragement of Industrial Research, Development and Technological Innovation, 1984, as amended, including any regulations or investment tracks promulgated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cost of revenues for the three month periods ended March 31, 2023 and March 31, 2022.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include costs directly attributable to the conduct of research and development programs, including the cost of salaries, employee benefits, costs of materials, supplies, the cost of services provided by outside contractors, including services related to our clinical trials, clinical trial expenses, the full cost of manufacturing drugs for use in research and preclinical development. All costs associated with research and development are expensed as incurred.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costs are a significant component of research and development expenses and include costs associated with third-party contractors. We outsource a substantial portion of our clinical trial activities, utilizing external entities such as CROs, independent clinical investigators and other third-party service providers to assist us with the execution of our clinical trials.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activities, which relate principally to clinical sites and other administrative functions to manage our clinical trials, are performed primarily by CROs. CROs typically perform most of the start-up activities for our trials, including document preparation, site identification, screening and preparation, pre-trial visits, training and program management.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and pre-clinical trial expenses include regulatory and scientific consultants’ compensation and fees, research expenses, purchase of materials, cost of manufacturing of the oral insulin and exenatide capsules, payments for patient recruitment and treatment, as well as salaries and related expenses of research and development staff.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Research and development expenses for the three month period ended March 31, 2023 decreased by 24% to $4,427,000, compared to $5,836,000 for the three month period ended March 31, 2022. The decrease was mainly due to lower expenses related to the Phase 3 trials that were terminated. Stock-based compensation expenses for the three month period ended March 31, 2023 were $17,000, compared to $562,000 during the three month period ended March 31, 2022. This decrease was mainly due to performance equity awards that did not meet their performance conditions during the period ended March 31, 2023.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results of the ORA-D-013-1 Phase 3 trial, which did not meet its primary and secondary endpoints, we terminated both ORA-D-013-1 and ORA-D-013-2 Phase 3 clinical trials. In parallel, we have initiated a comprehensive analysis of the data to understand if there is a path forward for our oral insulin candidate. We are examining our existing pipeline and have commenced an evaluation process of potential strategic opportunities, with the goal of enhancing value for our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three month periods ended March 31, 2023 and March 31, 2022, we did not recognize any research and development grants. As of March 31, 2023, we had incurred liabilities to pay royalties to the Israel Innovation Authority of the Israeli Ministry of Economy and Industry of $96,000.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include the salaries and related expenses of our commercial functions, consulting costs and other general costs.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for the three month period ended March 31, 2023 decreased by 69% to $184,000, compared to $590,000 for the three month period ended March 31, 2022. The decrease was primarily due to lower stock-based compensation expenses and consulting expenses. Stock-based compensation costs for the three month period ended March 31, 2023 were $88,000, compared to $364,000 for the three month period ended March 31, 2022. This decrease was mainly due to performance equity awards that did not meet their performance conditions during the period ended March 31, 2023.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the salaries and related expenses of our management, consulting costs, legal and professional fees, travel expenses, business development costs, insurance expenses and other general costs.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three month period ended March 31, 2023 decreased by 77% to $1,263,000 compared to $5,492,000 for the three month period ended March 31, 2022. The decrease was mainly due to lower stock-based compensation expenses and legal expenses. Stock-based compensation costs for the three month period ended March 31, 2023 were $67,000, compared to $3,103,000 for the three month period ended March 31, 2022. This decrease was mainly due to equity awards that were granted and vested in the first quarter of 2022 and to performance equity awards that did not meet their performance conditions during the period ended March 31, 2023.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Financial Income, net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financial income increased by 194% to $1,597,000 for the three month period ended March 31, 2023, compared to $544,000 for the three month period ended March 31, 2022. The increase was mainly due to interest from short-term bank deposits.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Basic and Diluted Loss Per Share of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per share of common stock for the three month period ended March 31, 2023 decreased by 70% to $0.08, compared to $0.27 for the three month period ended March 31, 2022. The decrease in loss per share was mainly due to lower net loss resulting from the changes set forth above in the three month period ended March 31, 2023 compared to the three month period ended March 31, 2022.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Weighted Average Shares of Common Stock Outstanding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of common stock outstanding for the three month period ended March 31, 2023 were 40,041,258, compared to 38,679,622 for the three month period ended March 31, 2022. The increase was mainly due to shares issued in connection with our controlled equity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inception through March 31, 2023, we have incurred losses in an aggregate amount of $166,476,000. During that period and through March 31, 2023, we have financed our operations through several private placements of our common stock, as well as public offerings of our common stock, raising a total of $255,376,000, net of transaction costs. During that period, we also received cash consideration of $28,001,000 from the exercise of warrants and options. We expect to seek additional financing through similar sources in the future, as needed. As of March 31, 2023, we had $24,104,000 of available cash, $127,363,000 of short-term bank deposits and $2,267,000 of marketable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inception through March 31, 2023, we have not generated significant revenues from our operations. Management continues to evaluate various financing alternatives for funding new strategic activities, future research and development activities and general and administrative expenses through fundraising in the public or private equity markets. Although there is no assurance that we will be successful with those initiatives, management believes that it will be able to secure the necessary financing as a result of future third party investments. Based on our current cash resources and commitments, we believe we will be able to maintain our current planned development activities and the corresponding level of expenditures for at least the next 12 months, although no assurance can be given that we will not need additional funds prior to such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unexpected increases in our operating expenses, we may need to seek additional financing during the next 12 months. Successful completion of our development programs and our transition to normal operations is dependent upon obtaining necessary regulatory approvals from the FDA prior to selling our products within the United States, obtaining foreign regulatory approvals to sell our products internationally, or entering into licensing agreements with third parties. There can be no assurance that we will receive regulatory approval of any of our product candidates, and a substantial amount of time may pass before we achieve a level of revenues adequate to support our operations, if at all. We also expect to incur substantial expenditures in connection with the regulatory approval process for each of our product candidates during their respective developmental periods. Obtaining marketing approval will be directly dependent on our ability to implement the necessary regulatory steps required to obtain marketing approval in the United States and in other countries. We may also need additional funds to realize the decisions made as part of our strategic review process. We cannot predict the outcome of these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our total current assets were $155,157,000 and our total current liabilities were $4,972,000. On March 31, 2023, we had a working capital surplus of $150,185,000 and an accumulated loss of $166,476,000. As of December 31, 2022, our total current assets were $157,109,000 and our total current liabilities were $5,746,000. On December 31, 2022, we had a working capital surplus of $151,363,000 and an accumulated loss of $163,081,000. The decrease in working capital from December 31, 2022 to March 31, 2023 was mainly due to a decrease in marketable securities, partially offset by a decrease in accounts payable and accrued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 period ended March 31, 2023, cash and cash equivalents decreased to $24,104,000, from $40,464,000 as of December 31, 2022. The decrease was mainly due to the reasons described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 used cash of $5,549,000 in the three month period ended March 31, 2023, compared to $9,125,000 used in the three month period ended March 31, 2022. Cash used in operating activities primarily consisted of research and development, sales and marketing and general and administrative expenses and changes in stock-based compensation expenses, interest on deposits, prepaid expenses and account payables and accrued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 used cash of $13,203,000 in the three month period ended March 31, 2023, compared to cash provided by investing activities of $7,359,000 in the three month period ended March 31, 2022. Cash used by investing activities in the three month period ended March 31, 2023 consisted primarily of the purchase of short-term deposits partially offset by proceeds from held to maturity securities. Cash provided by investing activities in the three month period ended March 31, 2022 consisted primarily of the proceeds of short-term deposits and held to maturity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 provided cash of $2,430,000 in the three month period ended March 31, 2023, compared to $2,292,000 provided in the three month period ended March 31, 2022. Cash provided by financing activities consisted primarily of proceeds from the issuance of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2021, we entered into a controlled equity offering agreement, or the Cantor Equity Distribution Agreement, with Cantor Fitzgerald &amp; Co., as agent, pursuant to which the Company may issue and sell shares of its common stock having an aggregate offering price of up to $100,000,000, through a sales agent, subject to certain terms and conditions. Any shares sold will be sold pursuant to our effective shelf registration statement on Form S-3 including a prospectus dated July 26, 2021 and prospectus supplement dated September 1, 2021. We paid the sales agent a cash commission of 3.0% of the gross proceeds of the sale of any shares sold through the sales agent under the Cantor Equity Sales Agreement. As of March 31, 2023, 1,971,447 shares were issued under the Cantor Equity Distribution Agreement for aggregate net proceeds of $26,253,000.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 and estimates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policies are described in “</w:t>
      </w:r>
      <w:r>
        <w:rPr>
          <w:rFonts w:ascii="Times New Roman;Times;Serif" w:hAnsi="Times New Roman;Times;Serif"/>
          <w:b w:val="false"/>
          <w:i/>
          <w:caps w:val="false"/>
          <w:smallCaps w:val="false"/>
          <w:sz w:val="20"/>
        </w:rPr>
        <w:t xml:space="preserve">Management’s Discussion and Analysis of Financial Condition and Results of Operations” </w:t>
      </w:r>
      <w:r>
        <w:rPr>
          <w:rFonts w:ascii="Times New Roman;Times;Serif" w:hAnsi="Times New Roman;Times;Serif"/>
          <w:b w:val="false"/>
          <w:i w:val="false"/>
          <w:caps w:val="false"/>
          <w:smallCaps w:val="false"/>
          <w:sz w:val="20"/>
        </w:rPr>
        <w:t>contained in our Annual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 heavily in research and development, and we expect that in the upcoming years our research and development expenses will continue to be our major operating expense.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results of the Phase 3 trials for our oral insulin capsule candidate, ORMD-0801 and the current strategic review initiated by the Company, our obligations may change significantly.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4"/>
      <w:bookmarkEnd w:id="10"/>
      <w:r>
        <w:rPr>
          <w:rFonts w:ascii="Times New Roman;Times;Serif" w:hAnsi="Times New Roman;Times;Serif"/>
          <w:b/>
          <w:i w:val="false"/>
          <w:caps w:val="false"/>
          <w:smallCaps w:val="false"/>
          <w:sz w:val="20"/>
        </w:rPr>
        <w:t>ITEM 3 -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significant change in our exposure to market risk during the quarter ended March 31, 2023. For a discussion of our exposure to market risk, refer to Part II, Item 7A, “Quantitative and Qualitative Disclosures About Market Risk,” contained in our Annual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05"/>
      <w:bookmarkEnd w:id="11"/>
      <w:r>
        <w:rPr>
          <w:rFonts w:ascii="Times New Roman;Times;Serif" w:hAnsi="Times New Roman;Times;Serif"/>
          <w:b/>
          <w:i w:val="false"/>
          <w:caps w:val="false"/>
          <w:smallCaps w:val="false"/>
          <w:sz w:val="20"/>
        </w:rPr>
        <w:t>ITEM 4 -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including our Chief Executive Officer and Chief Financial Officer, evaluated the effectiveness of our disclosure controls and procedures as of March 31, 2023. Based upon that evaluation, our Chief Executive Officer and Chief Financial Officer concluded that our disclosure controls and procedures are effective.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that occurred during the quarter ended March 31, 2023 that have materially affected, or are reasonably likely to materially affect, our internal control over financial reporting.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06"/>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07"/>
      <w:bookmarkEnd w:id="13"/>
      <w:r>
        <w:rPr>
          <w:rFonts w:ascii="Times New Roman;Times;Serif" w:hAnsi="Times New Roman;Times;Serif"/>
          <w:b/>
          <w:i w:val="false"/>
          <w:caps w:val="false"/>
          <w:smallCaps w:val="false"/>
          <w:sz w:val="20"/>
        </w:rPr>
        <w:t xml:space="preserve">ITEM 6 –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left"/>
              <w:rPr/>
            </w:pPr>
            <w:hyperlink w:anchor="f10q0323ex31-1_oramedphar.htm">
              <w:r>
                <w:rPr>
                  <w:rStyle w:val="InternetLink"/>
                  <w:rFonts w:ascii="Times New Roman;Times;Serif" w:hAnsi="Times New Roman;Times;Serif"/>
                  <w:b w:val="false"/>
                  <w:i w:val="false"/>
                  <w:caps w:val="false"/>
                  <w:smallCaps w:val="false"/>
                  <w:sz w:val="20"/>
                </w:rPr>
                <w:t>Certification of Principal Executive Officer pursuant to Rule 13a-14(a) and 15d-14(a) under the Securities Exchange Act of 1934, as amended.</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left"/>
              <w:rPr/>
            </w:pPr>
            <w:hyperlink w:anchor="f10q0323ex31-2_oramedphar.htm">
              <w:r>
                <w:rPr>
                  <w:rStyle w:val="InternetLink"/>
                  <w:rFonts w:ascii="Times New Roman;Times;Serif" w:hAnsi="Times New Roman;Times;Serif"/>
                  <w:b w:val="false"/>
                  <w:i w:val="false"/>
                  <w:caps w:val="false"/>
                  <w:smallCaps w:val="false"/>
                  <w:sz w:val="20"/>
                </w:rPr>
                <w:t>Certification of Principal Financial Officer pursuant to Rule 13a-14(a) and 15(d)-14(a) under the Securities Exchange Act of 1934, as amended.</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left"/>
              <w:rPr/>
            </w:pPr>
            <w:hyperlink w:anchor="f10q0323ex32-1_oramedphar.htm">
              <w:r>
                <w:rPr>
                  <w:rStyle w:val="InternetLink"/>
                  <w:rFonts w:ascii="Times New Roman;Times;Serif" w:hAnsi="Times New Roman;Times;Serif"/>
                  <w:b w:val="false"/>
                  <w:i w:val="false"/>
                  <w:caps w:val="false"/>
                  <w:smallCaps w:val="false"/>
                  <w:sz w:val="20"/>
                </w:rPr>
                <w:t>Certification of Principal Executive Officer pursuant to 18 U.S.C. Section 1350.</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left"/>
              <w:rPr/>
            </w:pPr>
            <w:hyperlink w:anchor="f10q0323ex32-2_oramedphar.htm">
              <w:r>
                <w:rPr>
                  <w:rStyle w:val="InternetLink"/>
                  <w:rFonts w:ascii="Times New Roman;Times;Serif" w:hAnsi="Times New Roman;Times;Serif"/>
                  <w:b w:val="false"/>
                  <w:i w:val="false"/>
                  <w:caps w:val="false"/>
                  <w:smallCaps w:val="false"/>
                  <w:sz w:val="20"/>
                </w:rPr>
                <w:t>Certification of Principal Financial Officer pursuant to 18 U.S.C. Section 1350.</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financial statements from the Company’s Quarterly Report on Form 10-Q for the quarter ended March 31, 2023 formatted in XBRL: (i) Condensed Consolidated Balance Sheets, (ii) Condensed Consolidated Statements of Comprehensive Loss, (iii) Condensed Consolidated Statement of Changes in Stockholders’ Equity, (iv) Condensed Consolidated Statements of Cash Flows and (v) the Notes to Condensed Consolidated Financial Statements.</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40"/>
        <w:gridCol w:w="120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45"/>
        <w:gridCol w:w="159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670" w:type="dxa"/>
        <w:jc w:val="left"/>
        <w:tblInd w:w="0" w:type="dxa"/>
        <w:tblLayout w:type="fixed"/>
        <w:tblCellMar>
          <w:top w:w="0" w:type="dxa"/>
          <w:left w:w="0" w:type="dxa"/>
          <w:bottom w:w="0" w:type="dxa"/>
          <w:right w:w="0" w:type="dxa"/>
        </w:tblCellMar>
      </w:tblPr>
      <w:tblGrid>
        <w:gridCol w:w="1655"/>
        <w:gridCol w:w="365"/>
        <w:gridCol w:w="3650"/>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40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11, 2023</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Nadav Kidron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Nadav Kidron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11, 2023</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Silberman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Silberman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720" w:right="0" w:hanging="0"/>
        <w:jc w:val="right"/>
        <w:rPr>
          <w:rFonts w:ascii="Times New Roman;Times;Serif" w:hAnsi="Times New Roman;Times;Serif"/>
          <w:b/>
          <w:i w:val="false"/>
          <w:caps w:val="false"/>
          <w:smallCaps w:val="false"/>
          <w:sz w:val="20"/>
        </w:rPr>
      </w:pPr>
      <w:bookmarkStart w:id="14" w:name="f10q0323ex31-1_oramedphar.htm"/>
      <w:bookmarkStart w:id="15" w:name="ksf10q0323ex311_oramedphar"/>
      <w:bookmarkEnd w:id="14"/>
      <w:bookmarkEnd w:id="15"/>
      <w:r>
        <w:rPr>
          <w:rFonts w:ascii="Times New Roman;Times;Serif" w:hAnsi="Times New Roman;Times;Serif"/>
          <w:b/>
          <w:i w:val="false"/>
          <w:caps w:val="false"/>
          <w:smallCaps w:val="false"/>
          <w:sz w:val="20"/>
        </w:rPr>
        <w:t>Exhibit 31.1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 13a-14(a) AND 15d-14(a)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Nadav Kidron, certify that:</w:t>
      </w:r>
    </w:p>
    <w:p>
      <w:pPr>
        <w:pStyle w:val="TextBody"/>
        <w:bidi w:val="0"/>
        <w:spacing w:before="0" w:after="0"/>
        <w:ind w:left="72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215"/>
        <w:gridCol w:w="8030"/>
      </w:tblGrid>
      <w:tr>
        <w:trPr/>
        <w:tc>
          <w:tcPr>
            <w:tcW w:w="215" w:type="dxa"/>
            <w:tcBorders/>
            <w:vAlign w:val="center"/>
          </w:tcPr>
          <w:p>
            <w:pPr>
              <w:pStyle w:val="TableContents"/>
              <w:bidi w:val="0"/>
              <w:spacing w:before="0" w:after="283"/>
              <w:jc w:val="left"/>
              <w:rPr/>
            </w:pPr>
            <w:r>
              <w:rPr/>
              <w:t>1.</w:t>
            </w:r>
          </w:p>
        </w:tc>
        <w:tc>
          <w:tcPr>
            <w:tcW w:w="8030" w:type="dxa"/>
            <w:tcBorders/>
            <w:vAlign w:val="center"/>
          </w:tcPr>
          <w:p>
            <w:pPr>
              <w:pStyle w:val="TableContents"/>
              <w:bidi w:val="0"/>
              <w:spacing w:before="0" w:after="283"/>
              <w:jc w:val="left"/>
              <w:rPr/>
            </w:pPr>
            <w:r>
              <w:rPr/>
              <w:t>I have reviewed this quarterly report on Form 10-Q of Oramed Pharmaceuticals Inc.;</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left"/>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 ’s internal control over financial reporting;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left"/>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1655"/>
        <w:gridCol w:w="365"/>
        <w:gridCol w:w="3095"/>
      </w:tblGrid>
      <w:tr>
        <w:trPr/>
        <w:tc>
          <w:tcPr>
            <w:tcW w:w="1655" w:type="dxa"/>
            <w:tcBorders/>
            <w:vAlign w:val="center"/>
          </w:tcPr>
          <w:p>
            <w:pPr>
              <w:pStyle w:val="TableContents"/>
              <w:bidi w:val="0"/>
              <w:spacing w:before="0" w:after="283"/>
              <w:jc w:val="left"/>
              <w:rPr>
                <w:sz w:val="20"/>
              </w:rPr>
            </w:pPr>
            <w:r>
              <w:rPr>
                <w:sz w:val="20"/>
              </w:rPr>
              <w:t>Date: May 11, 2023</w:t>
            </w:r>
          </w:p>
        </w:tc>
        <w:tc>
          <w:tcPr>
            <w:tcW w:w="365" w:type="dxa"/>
            <w:tcBorders/>
            <w:vAlign w:val="center"/>
          </w:tcPr>
          <w:p>
            <w:pPr>
              <w:pStyle w:val="TableContents"/>
              <w:bidi w:val="0"/>
              <w:spacing w:before="0" w:after="283"/>
              <w:jc w:val="left"/>
              <w:rPr/>
            </w:pPr>
            <w:r>
              <w:rPr/>
              <w:t>By:</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Nadav Kidron  </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Nadav Kidron</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right"/>
        <w:rPr>
          <w:rFonts w:ascii="Times New Roman;Times;Serif" w:hAnsi="Times New Roman;Times;Serif"/>
          <w:b/>
          <w:i w:val="false"/>
          <w:caps w:val="false"/>
          <w:smallCaps w:val="false"/>
          <w:sz w:val="20"/>
        </w:rPr>
      </w:pPr>
      <w:bookmarkStart w:id="16" w:name="f10q0323ex31-2_oramedphar.htm"/>
      <w:bookmarkStart w:id="17" w:name="ksf10q0323ex312_oramedphar"/>
      <w:bookmarkEnd w:id="16"/>
      <w:bookmarkEnd w:id="17"/>
      <w:r>
        <w:rPr>
          <w:rFonts w:ascii="Times New Roman;Times;Serif" w:hAnsi="Times New Roman;Times;Serif"/>
          <w:b/>
          <w:i w:val="false"/>
          <w:caps w:val="false"/>
          <w:smallCaps w:val="false"/>
          <w:sz w:val="20"/>
        </w:rPr>
        <w:t>Exhibit 31.2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 13a-14(a) AND 15d-14(a)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Silberman, certify that:</w:t>
      </w:r>
    </w:p>
    <w:p>
      <w:pPr>
        <w:pStyle w:val="TextBody"/>
        <w:bidi w:val="0"/>
        <w:spacing w:before="0" w:after="0"/>
        <w:ind w:left="72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215"/>
        <w:gridCol w:w="8030"/>
      </w:tblGrid>
      <w:tr>
        <w:trPr/>
        <w:tc>
          <w:tcPr>
            <w:tcW w:w="215" w:type="dxa"/>
            <w:tcBorders/>
            <w:vAlign w:val="center"/>
          </w:tcPr>
          <w:p>
            <w:pPr>
              <w:pStyle w:val="TableContents"/>
              <w:bidi w:val="0"/>
              <w:spacing w:before="0" w:after="283"/>
              <w:jc w:val="left"/>
              <w:rPr/>
            </w:pPr>
            <w:r>
              <w:rPr/>
              <w:t>1.</w:t>
            </w:r>
          </w:p>
        </w:tc>
        <w:tc>
          <w:tcPr>
            <w:tcW w:w="8030" w:type="dxa"/>
            <w:tcBorders/>
            <w:vAlign w:val="center"/>
          </w:tcPr>
          <w:p>
            <w:pPr>
              <w:pStyle w:val="TableContents"/>
              <w:bidi w:val="0"/>
              <w:spacing w:before="0" w:after="283"/>
              <w:jc w:val="both"/>
              <w:rPr/>
            </w:pPr>
            <w:r>
              <w:rPr/>
              <w:t>I have reviewed this quarterly report on Form 10-Q of Oramed Pharmaceuticals Inc.;</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left"/>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 ’s internal control over financial reporting;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left"/>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1655"/>
        <w:gridCol w:w="365"/>
        <w:gridCol w:w="1895"/>
      </w:tblGrid>
      <w:tr>
        <w:trPr/>
        <w:tc>
          <w:tcPr>
            <w:tcW w:w="1655" w:type="dxa"/>
            <w:tcBorders/>
            <w:vAlign w:val="center"/>
          </w:tcPr>
          <w:p>
            <w:pPr>
              <w:pStyle w:val="TableContents"/>
              <w:bidi w:val="0"/>
              <w:spacing w:before="0" w:after="283"/>
              <w:jc w:val="left"/>
              <w:rPr>
                <w:sz w:val="20"/>
              </w:rPr>
            </w:pPr>
            <w:r>
              <w:rPr>
                <w:sz w:val="20"/>
              </w:rPr>
              <w:t>Date: May 11, 2023</w:t>
            </w:r>
          </w:p>
        </w:tc>
        <w:tc>
          <w:tcPr>
            <w:tcW w:w="365" w:type="dxa"/>
            <w:tcBorders/>
            <w:vAlign w:val="center"/>
          </w:tcPr>
          <w:p>
            <w:pPr>
              <w:pStyle w:val="TableContents"/>
              <w:bidi w:val="0"/>
              <w:spacing w:before="0" w:after="283"/>
              <w:jc w:val="left"/>
              <w:rPr/>
            </w:pPr>
            <w:r>
              <w:rPr/>
              <w:t>By:</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David Silberman  </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David Silberman</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8" w:name="f10q0323ex32-1_oramedphar.htm"/>
      <w:bookmarkStart w:id="19" w:name="ksf10q0323ex321_oramedphar"/>
      <w:bookmarkEnd w:id="18"/>
      <w:bookmarkEnd w:id="19"/>
      <w:r>
        <w:rPr>
          <w:rFonts w:ascii="Times New Roman;Times;Serif" w:hAnsi="Times New Roman;Times;Serif"/>
          <w:b/>
          <w:i w:val="false"/>
          <w:caps w:val="false"/>
          <w:smallCaps w:val="false"/>
          <w:sz w:val="20"/>
        </w:rPr>
        <w:t>Exhibit 32.1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Oramed Pharmaceuticals Inc., or the Company, on Form 10-Q for the period ended March 31, 2023, as filed with the Securities and Exchange Commission on the date hereof, or the Report, I, Nadav Kidron, President and Chief Executive Officer of the Company, certify, pursuant to 18 U.S.C. Section 1350, that to my knowledge:</w:t>
      </w:r>
    </w:p>
    <w:p>
      <w:pPr>
        <w:pStyle w:val="TextBody"/>
        <w:bidi w:val="0"/>
        <w:spacing w:before="0" w:after="0"/>
        <w:ind w:left="340" w:right="0" w:hanging="3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bl>
    <w:p>
      <w:pPr>
        <w:pStyle w:val="TextBody"/>
        <w:bidi w:val="0"/>
        <w:spacing w:before="0" w:after="0"/>
        <w:ind w:left="340" w:right="0" w:hanging="3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ind w:left="340" w:right="0" w:hanging="332"/>
        <w:jc w:val="left"/>
        <w:rPr>
          <w:caps w:val="false"/>
          <w:smallCaps w:val="false"/>
        </w:rPr>
      </w:pPr>
      <w:r>
        <w:rPr>
          <w:caps w:val="false"/>
          <w:smallCaps w:val="false"/>
        </w:rPr>
        <w:t> </w:t>
      </w:r>
    </w:p>
    <w:tbl>
      <w:tblPr>
        <w:tblW w:w="5175" w:type="dxa"/>
        <w:jc w:val="left"/>
        <w:tblInd w:w="0" w:type="dxa"/>
        <w:tblLayout w:type="fixed"/>
        <w:tblCellMar>
          <w:top w:w="0" w:type="dxa"/>
          <w:left w:w="0" w:type="dxa"/>
          <w:bottom w:w="0" w:type="dxa"/>
          <w:right w:w="0" w:type="dxa"/>
        </w:tblCellMar>
      </w:tblPr>
      <w:tblGrid>
        <w:gridCol w:w="1655"/>
        <w:gridCol w:w="425"/>
        <w:gridCol w:w="3095"/>
      </w:tblGrid>
      <w:tr>
        <w:trPr/>
        <w:tc>
          <w:tcPr>
            <w:tcW w:w="1655" w:type="dxa"/>
            <w:tcBorders/>
            <w:vAlign w:val="center"/>
          </w:tcPr>
          <w:p>
            <w:pPr>
              <w:pStyle w:val="TableContents"/>
              <w:bidi w:val="0"/>
              <w:spacing w:before="0" w:after="283"/>
              <w:jc w:val="left"/>
              <w:rPr>
                <w:sz w:val="20"/>
              </w:rPr>
            </w:pPr>
            <w:r>
              <w:rPr>
                <w:sz w:val="20"/>
              </w:rPr>
              <w:t>Date: May 11, 2023</w:t>
            </w:r>
          </w:p>
        </w:tc>
        <w:tc>
          <w:tcPr>
            <w:tcW w:w="425" w:type="dxa"/>
            <w:tcBorders/>
            <w:vAlign w:val="center"/>
          </w:tcPr>
          <w:p>
            <w:pPr>
              <w:pStyle w:val="TableContents"/>
              <w:bidi w:val="0"/>
              <w:spacing w:before="0" w:after="283"/>
              <w:jc w:val="left"/>
              <w:rPr/>
            </w:pPr>
            <w:r>
              <w:rPr/>
              <w:t xml:space="preserve">By: </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Nadav Kidron  </w:t>
            </w:r>
          </w:p>
        </w:tc>
      </w:tr>
      <w:tr>
        <w:trPr/>
        <w:tc>
          <w:tcPr>
            <w:tcW w:w="165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Nadav Kidron</w:t>
            </w:r>
          </w:p>
        </w:tc>
      </w:tr>
      <w:tr>
        <w:trPr/>
        <w:tc>
          <w:tcPr>
            <w:tcW w:w="165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0" w:name="f10q0323ex32-2_oramedphar.htm"/>
      <w:bookmarkStart w:id="21" w:name="ksf10q0323ex322_oramedphar"/>
      <w:bookmarkEnd w:id="20"/>
      <w:bookmarkEnd w:id="21"/>
      <w:r>
        <w:rPr>
          <w:b/>
        </w:rPr>
        <w:t>Exhibit 32.2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Oramed Pharmaceuticals Inc., or the Company, on Form 10-Q for the period ended March 31, 2023, as filed with the Securities and Exchange Commission on the date hereof, or the Report, I, David Silberman, Chief Financial Officer of the Company, certify, pursuant to 18 U.S.C. Section 1350, that to my knowledge:</w:t>
      </w:r>
    </w:p>
    <w:p>
      <w:pPr>
        <w:pStyle w:val="TextBody"/>
        <w:bidi w:val="0"/>
        <w:spacing w:before="0" w:after="0"/>
        <w:ind w:left="340" w:right="0" w:hanging="3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bl>
    <w:p>
      <w:pPr>
        <w:pStyle w:val="TextBody"/>
        <w:bidi w:val="0"/>
        <w:spacing w:before="0" w:after="0"/>
        <w:ind w:left="340" w:right="0" w:hanging="3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ind w:left="340" w:right="0" w:hanging="332"/>
        <w:jc w:val="left"/>
        <w:rPr>
          <w:caps w:val="false"/>
          <w:smallCaps w:val="false"/>
        </w:rPr>
      </w:pPr>
      <w:r>
        <w:rPr>
          <w:caps w:val="false"/>
          <w:smallCaps w:val="false"/>
        </w:rPr>
        <w:t> </w:t>
      </w:r>
    </w:p>
    <w:tbl>
      <w:tblPr>
        <w:tblW w:w="3990" w:type="dxa"/>
        <w:jc w:val="left"/>
        <w:tblInd w:w="0" w:type="dxa"/>
        <w:tblLayout w:type="fixed"/>
        <w:tblCellMar>
          <w:top w:w="0" w:type="dxa"/>
          <w:left w:w="0" w:type="dxa"/>
          <w:bottom w:w="0" w:type="dxa"/>
          <w:right w:w="0" w:type="dxa"/>
        </w:tblCellMar>
      </w:tblPr>
      <w:tblGrid>
        <w:gridCol w:w="1655"/>
        <w:gridCol w:w="425"/>
        <w:gridCol w:w="1910"/>
      </w:tblGrid>
      <w:tr>
        <w:trPr/>
        <w:tc>
          <w:tcPr>
            <w:tcW w:w="1655" w:type="dxa"/>
            <w:tcBorders/>
            <w:vAlign w:val="center"/>
          </w:tcPr>
          <w:p>
            <w:pPr>
              <w:pStyle w:val="TableContents"/>
              <w:bidi w:val="0"/>
              <w:spacing w:before="0" w:after="283"/>
              <w:jc w:val="left"/>
              <w:rPr>
                <w:sz w:val="20"/>
              </w:rPr>
            </w:pPr>
            <w:r>
              <w:rPr>
                <w:sz w:val="20"/>
              </w:rPr>
              <w:t>Date: May 11, 2023</w:t>
            </w:r>
          </w:p>
        </w:tc>
        <w:tc>
          <w:tcPr>
            <w:tcW w:w="425" w:type="dxa"/>
            <w:tcBorders/>
            <w:vAlign w:val="center"/>
          </w:tcPr>
          <w:p>
            <w:pPr>
              <w:pStyle w:val="TableContents"/>
              <w:bidi w:val="0"/>
              <w:spacing w:before="0" w:after="283"/>
              <w:jc w:val="left"/>
              <w:rPr/>
            </w:pPr>
            <w:r>
              <w:rPr/>
              <w:t xml:space="preserve">By: </w:t>
            </w:r>
          </w:p>
        </w:tc>
        <w:tc>
          <w:tcPr>
            <w:tcW w:w="1910" w:type="dxa"/>
            <w:tcBorders>
              <w:bottom w:val="single" w:sz="12" w:space="0" w:color="000000"/>
            </w:tcBorders>
            <w:tcMar>
              <w:bottom w:w="28" w:type="dxa"/>
            </w:tcMar>
            <w:vAlign w:val="center"/>
          </w:tcPr>
          <w:p>
            <w:pPr>
              <w:pStyle w:val="TableContents"/>
              <w:bidi w:val="0"/>
              <w:spacing w:before="0" w:after="283"/>
              <w:jc w:val="left"/>
              <w:rPr/>
            </w:pPr>
            <w:r>
              <w:rPr/>
              <w:t>/s/ David Silberman</w:t>
            </w:r>
          </w:p>
        </w:tc>
      </w:tr>
      <w:tr>
        <w:trPr/>
        <w:tc>
          <w:tcPr>
            <w:tcW w:w="165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sz w:val="20"/>
              </w:rPr>
            </w:pPr>
            <w:r>
              <w:rPr>
                <w:sz w:val="20"/>
              </w:rPr>
              <w:t>David Silberman</w:t>
            </w:r>
          </w:p>
        </w:tc>
      </w:tr>
      <w:tr>
        <w:trPr/>
        <w:tc>
          <w:tcPr>
            <w:tcW w:w="165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11219</Words>
  <Characters>61479</Characters>
  <CharactersWithSpaces>73391</CharactersWithSpaces>
  <Paragraphs>2828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