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Hexter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COO &amp; CBO</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47"/>
        <w:gridCol w:w="435"/>
        <w:gridCol w:w="78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137,000</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4.463</w:t>
            </w:r>
            <w:r>
              <w:rPr>
                <w:rFonts w:ascii="Times;serif" w:hAnsi="Times;serif"/>
                <w:color w:val="008000"/>
                <w:position w:val="7"/>
                <w:sz w:val="16"/>
                <w:sz w:val="20"/>
                <w:shd w:fill="FFFFFF" w:val="clear"/>
              </w:rPr>
              <w:t>(2)</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1,023,384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3.69</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1,073,384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Rule 10b5-1 trading plan adopted by the Reporting Person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$4.255 to $4.7652,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vested and became exercisable in 16 equal installments of 6,250 on the first day of every three-month period beginning November 1, 2019.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Hexter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235"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3771</Characters>
  <CharactersWithSpaces>4399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