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871-8k_oramed.htm"/>
      <w:bookmarkStart w:id="1" w:name="ksea03058718k_orame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9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120" w:type="dxa"/>
        <w:jc w:val="left"/>
        <w:tblInd w:w="0" w:type="dxa"/>
        <w:tblLayout w:type="fixed"/>
        <w:tblCellMar>
          <w:top w:w="0" w:type="dxa"/>
          <w:left w:w="0" w:type="dxa"/>
          <w:bottom w:w="28" w:type="dxa"/>
          <w:right w:w="0" w:type="dxa"/>
        </w:tblCellMar>
      </w:tblPr>
      <w:tblGrid>
        <w:gridCol w:w="2255"/>
        <w:gridCol w:w="60"/>
        <w:gridCol w:w="2210"/>
        <w:gridCol w:w="60"/>
        <w:gridCol w:w="1535"/>
      </w:tblGrid>
      <w:tr>
        <w:trPr/>
        <w:tc>
          <w:tcPr>
            <w:tcW w:w="2255" w:type="dxa"/>
            <w:tcBorders>
              <w:bottom w:val="single" w:sz="12" w:space="0" w:color="000000"/>
            </w:tcBorders>
            <w:vAlign w:val="center"/>
          </w:tcPr>
          <w:p>
            <w:pPr>
              <w:pStyle w:val="TableContents"/>
              <w:bidi w:val="0"/>
              <w:spacing w:before="0" w:after="283"/>
              <w:jc w:val="center"/>
              <w:rPr>
                <w:b/>
                <w:caps/>
                <w:sz w:val="20"/>
              </w:rPr>
            </w:pPr>
            <w:bookmarkStart w:id="5" w:name="xdx_901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915"/>
            <w:bookmarkEnd w:id="6"/>
            <w:r>
              <w:rPr>
                <w:b/>
                <w:sz w:val="20"/>
              </w:rPr>
              <w:t>001-35813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98-0376008</w:t>
            </w:r>
          </w:p>
        </w:tc>
      </w:tr>
      <w:tr>
        <w:trPr/>
        <w:tc>
          <w:tcPr>
            <w:tcW w:w="2255"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pPr>
            <w:bookmarkStart w:id="8" w:name="xdx_902_edei--EntityAddressAddressLine1_"/>
            <w:bookmarkEnd w:id="8"/>
            <w:r>
              <w:rPr>
                <w:b/>
              </w:rPr>
              <w:t xml:space="preserve">1185 Avenue of the Americas, </w:t>
            </w:r>
            <w:bookmarkStart w:id="9" w:name="xdx_901_edei--EntityAddressAddressLine2_"/>
            <w:bookmarkEnd w:id="9"/>
            <w:r>
              <w:rPr>
                <w:b/>
              </w:rPr>
              <w:t>Third Floor,</w:t>
              <w:br/>
            </w:r>
            <w:bookmarkStart w:id="10" w:name="xdx_907_edei--EntityAddressCityOrTown_c2"/>
            <w:bookmarkEnd w:id="10"/>
            <w:r>
              <w:rPr>
                <w:b/>
              </w:rPr>
              <w:t xml:space="preserve">New York, </w:t>
            </w:r>
            <w:bookmarkStart w:id="11" w:name="xdx_904_edei--EntityAddressStateOrProvin"/>
            <w:bookmarkEnd w:id="11"/>
            <w:r>
              <w:rPr>
                <w:b/>
              </w:rPr>
              <w:t>New York</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10036</w:t>
            </w:r>
          </w:p>
        </w:tc>
      </w:tr>
      <w:tr>
        <w:trPr/>
        <w:tc>
          <w:tcPr>
            <w:tcW w:w="44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7_edei--CityAreaCode_c20260915__20"/>
      <w:bookmarkEnd w:id="13"/>
      <w:r>
        <w:rPr>
          <w:rFonts w:ascii="Times New Roman;Times;Serif" w:hAnsi="Times New Roman;Times;Serif"/>
          <w:b/>
          <w:i w:val="false"/>
          <w:caps w:val="false"/>
          <w:smallCaps w:val="false"/>
          <w:sz w:val="20"/>
        </w:rPr>
        <w:t>844-</w:t>
      </w:r>
      <w:bookmarkStart w:id="14" w:name="xdx_90A_edei--LocalPhoneNumber_c20260915"/>
      <w:bookmarkEnd w:id="14"/>
      <w:r>
        <w:rPr>
          <w:rFonts w:ascii="Times New Roman;Times;Serif" w:hAnsi="Times New Roman;Times;Serif"/>
          <w:b/>
          <w:i w:val="false"/>
          <w:caps w:val="false"/>
          <w:smallCaps w:val="false"/>
          <w:sz w:val="20"/>
        </w:rPr>
        <w:t>967-2633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C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28" w:type="dxa"/>
          <w:right w:w="0" w:type="dxa"/>
        </w:tblCellMar>
      </w:tblPr>
      <w:tblGrid>
        <w:gridCol w:w="2840"/>
        <w:gridCol w:w="60"/>
        <w:gridCol w:w="1310"/>
        <w:gridCol w:w="60"/>
        <w:gridCol w:w="3590"/>
      </w:tblGrid>
      <w:tr>
        <w:trPr/>
        <w:tc>
          <w:tcPr>
            <w:tcW w:w="2840"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b/>
                <w:sz w:val="20"/>
              </w:rPr>
            </w:pPr>
            <w:bookmarkStart w:id="19" w:name="xdx_90D_edei--Security12bTitle_c20260915"/>
            <w:bookmarkEnd w:id="19"/>
            <w:r>
              <w:rPr>
                <w:b/>
                <w:sz w:val="20"/>
              </w:rPr>
              <w:t>Common Stock, par value $0.012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b/>
                <w:sz w:val="20"/>
              </w:rPr>
            </w:pPr>
            <w:bookmarkStart w:id="20" w:name="xdx_90E_edei--TradingSymbol_c20260915__2"/>
            <w:bookmarkEnd w:id="20"/>
            <w:r>
              <w:rPr>
                <w:b/>
                <w:sz w:val="20"/>
              </w:rPr>
              <w:t>ORMP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7_edei--SecurityExchangeName_c2026"/>
            <w:bookmarkEnd w:id="21"/>
            <w:r>
              <w:rPr>
                <w:b/>
                <w:sz w:val="20"/>
              </w:rPr>
              <w:t>Nasdaq Capital Market,</w:t>
              <w:br/>
              <w:t>Tel Aviv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held its 2026 Annual Meeting of Stockholders. The final voting results at the 2026 Annual Meeting of Stockholders (the “Annual Meeting”)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Re-election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re-elected the following directors of the Company to hold office until the next annual meeting of stockholders and until their respective successors shall be elected and qualified or until their earlier resignation or removal. The votes were as follows:</w:t>
      </w:r>
    </w:p>
    <w:p>
      <w:pPr>
        <w:pStyle w:val="TextBody"/>
        <w:bidi w:val="0"/>
        <w:spacing w:before="0" w:after="0"/>
        <w:ind w:left="0" w:right="0" w:hanging="0"/>
        <w:jc w:val="both"/>
        <w:rPr>
          <w:caps w:val="false"/>
          <w:smallCaps w:val="false"/>
        </w:rPr>
      </w:pPr>
      <w:r>
        <w:rPr>
          <w:caps w:val="false"/>
          <w:smallCaps w:val="false"/>
        </w:rPr>
        <w:t> </w:t>
      </w:r>
    </w:p>
    <w:tbl>
      <w:tblPr>
        <w:tblW w:w="6085" w:type="dxa"/>
        <w:jc w:val="left"/>
        <w:tblInd w:w="0" w:type="dxa"/>
        <w:tblLayout w:type="fixed"/>
        <w:tblCellMar>
          <w:top w:w="0" w:type="dxa"/>
          <w:left w:w="0" w:type="dxa"/>
          <w:bottom w:w="28" w:type="dxa"/>
          <w:right w:w="0" w:type="dxa"/>
        </w:tblCellMar>
      </w:tblPr>
      <w:tblGrid>
        <w:gridCol w:w="1835"/>
        <w:gridCol w:w="60"/>
        <w:gridCol w:w="1100"/>
        <w:gridCol w:w="60"/>
        <w:gridCol w:w="980"/>
        <w:gridCol w:w="60"/>
        <w:gridCol w:w="815"/>
        <w:gridCol w:w="60"/>
        <w:gridCol w:w="1115"/>
      </w:tblGrid>
      <w:tr>
        <w:trPr/>
        <w:tc>
          <w:tcPr>
            <w:tcW w:w="1835" w:type="dxa"/>
            <w:tcBorders>
              <w:bottom w:val="single" w:sz="12" w:space="0" w:color="000000"/>
            </w:tcBorders>
            <w:vAlign w:val="center"/>
          </w:tcPr>
          <w:p>
            <w:pPr>
              <w:pStyle w:val="TableContents"/>
              <w:bidi w:val="0"/>
              <w:spacing w:before="0" w:after="283"/>
              <w:jc w:val="left"/>
              <w:rPr>
                <w:b/>
              </w:rPr>
            </w:pPr>
            <w:r>
              <w:rPr>
                <w:b/>
              </w:rPr>
              <w:t>Director Name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Broker</w:t>
              <w:br/>
              <w:t>Non-Votes</w:t>
            </w:r>
          </w:p>
        </w:tc>
      </w:tr>
      <w:tr>
        <w:trPr/>
        <w:tc>
          <w:tcPr>
            <w:tcW w:w="1835" w:type="dxa"/>
            <w:tcBorders/>
            <w:shd w:fill="CCEEFF" w:val="clear"/>
            <w:tcMar>
              <w:bottom w:w="0" w:type="dxa"/>
            </w:tcMar>
            <w:vAlign w:val="center"/>
          </w:tcPr>
          <w:p>
            <w:pPr>
              <w:pStyle w:val="TableContents"/>
              <w:bidi w:val="0"/>
              <w:spacing w:before="0" w:after="283"/>
              <w:jc w:val="both"/>
              <w:rPr/>
            </w:pPr>
            <w:r>
              <w:rPr/>
              <w:t>Dr. Daniel Aghion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12,662,432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4,769,203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20,234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r>
        <w:trPr/>
        <w:tc>
          <w:tcPr>
            <w:tcW w:w="18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r>
      <w:tr>
        <w:trPr/>
        <w:tc>
          <w:tcPr>
            <w:tcW w:w="1835" w:type="dxa"/>
            <w:tcBorders/>
            <w:shd w:fill="CCEEFF" w:val="clear"/>
            <w:tcMar>
              <w:bottom w:w="0" w:type="dxa"/>
            </w:tcMar>
            <w:vAlign w:val="center"/>
          </w:tcPr>
          <w:p>
            <w:pPr>
              <w:pStyle w:val="TableContents"/>
              <w:bidi w:val="0"/>
              <w:spacing w:before="0" w:after="283"/>
              <w:jc w:val="both"/>
              <w:rPr/>
            </w:pPr>
            <w:r>
              <w:rPr/>
              <w:t>Dr. Miriam Kidron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13,672,468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3,756,991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22,410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r>
        <w:trPr/>
        <w:tc>
          <w:tcPr>
            <w:tcW w:w="18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r>
      <w:tr>
        <w:trPr/>
        <w:tc>
          <w:tcPr>
            <w:tcW w:w="1835" w:type="dxa"/>
            <w:tcBorders/>
            <w:shd w:fill="CCEEFF" w:val="clear"/>
            <w:tcMar>
              <w:bottom w:w="0" w:type="dxa"/>
            </w:tcMar>
            <w:vAlign w:val="center"/>
          </w:tcPr>
          <w:p>
            <w:pPr>
              <w:pStyle w:val="TableContents"/>
              <w:bidi w:val="0"/>
              <w:spacing w:before="0" w:after="283"/>
              <w:jc w:val="both"/>
              <w:rPr/>
            </w:pPr>
            <w:r>
              <w:rPr/>
              <w:t>Nadav Kidron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13,702,335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3,729,485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20,049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r>
        <w:trPr/>
        <w:tc>
          <w:tcPr>
            <w:tcW w:w="18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r>
      <w:tr>
        <w:trPr/>
        <w:tc>
          <w:tcPr>
            <w:tcW w:w="1835" w:type="dxa"/>
            <w:tcBorders/>
            <w:shd w:fill="CCEEFF" w:val="clear"/>
            <w:tcMar>
              <w:bottom w:w="0" w:type="dxa"/>
            </w:tcMar>
            <w:vAlign w:val="center"/>
          </w:tcPr>
          <w:p>
            <w:pPr>
              <w:pStyle w:val="TableContents"/>
              <w:bidi w:val="0"/>
              <w:spacing w:before="0" w:after="283"/>
              <w:jc w:val="both"/>
              <w:rPr/>
            </w:pPr>
            <w:r>
              <w:rPr/>
              <w:t>Dr. Arie Mayer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11,784,397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5,648,636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18,836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r>
        <w:trPr/>
        <w:tc>
          <w:tcPr>
            <w:tcW w:w="18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r>
      <w:tr>
        <w:trPr/>
        <w:tc>
          <w:tcPr>
            <w:tcW w:w="1835" w:type="dxa"/>
            <w:tcBorders/>
            <w:shd w:fill="CCEEFF" w:val="clear"/>
            <w:tcMar>
              <w:bottom w:w="0" w:type="dxa"/>
            </w:tcMar>
            <w:vAlign w:val="center"/>
          </w:tcPr>
          <w:p>
            <w:pPr>
              <w:pStyle w:val="TableContents"/>
              <w:bidi w:val="0"/>
              <w:spacing w:before="0" w:after="283"/>
              <w:jc w:val="both"/>
              <w:rPr/>
            </w:pPr>
            <w:r>
              <w:rPr/>
              <w:t>Yehuda Reznick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13,687,270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3,735,295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29,304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r>
        <w:trPr/>
        <w:tc>
          <w:tcPr>
            <w:tcW w:w="18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r>
      <w:tr>
        <w:trPr/>
        <w:tc>
          <w:tcPr>
            <w:tcW w:w="1835" w:type="dxa"/>
            <w:tcBorders/>
            <w:shd w:fill="CCEEFF" w:val="clear"/>
            <w:tcMar>
              <w:bottom w:w="0" w:type="dxa"/>
            </w:tcMar>
            <w:vAlign w:val="center"/>
          </w:tcPr>
          <w:p>
            <w:pPr>
              <w:pStyle w:val="TableContents"/>
              <w:bidi w:val="0"/>
              <w:spacing w:before="0" w:after="283"/>
              <w:jc w:val="both"/>
              <w:rPr/>
            </w:pPr>
            <w:r>
              <w:rPr/>
              <w:t>Benjamin Shapiro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11,567,510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5,859,953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24,406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7,538,073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Ratification of Independent Registered Public Accounting Firm for the 2026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appointment of Kesselman &amp; Kesselman, certified public accountants in Israel, a member of PricewaterhouseCoopers International Limited, as the independent registered public accounting firm of the Company for the 2026 fiscal year. The votes were as follows:</w:t>
      </w:r>
    </w:p>
    <w:p>
      <w:pPr>
        <w:pStyle w:val="TextBody"/>
        <w:bidi w:val="0"/>
        <w:spacing w:before="0" w:after="0"/>
        <w:ind w:left="0" w:right="0" w:hanging="0"/>
        <w:jc w:val="both"/>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115"/>
        <w:gridCol w:w="60"/>
        <w:gridCol w:w="980"/>
        <w:gridCol w:w="60"/>
        <w:gridCol w:w="815"/>
        <w:gridCol w:w="60"/>
        <w:gridCol w:w="1910"/>
      </w:tblGrid>
      <w:tr>
        <w:trPr/>
        <w:tc>
          <w:tcPr>
            <w:tcW w:w="111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115" w:type="dxa"/>
            <w:tcBorders/>
            <w:shd w:fill="CCEEFF" w:val="clear"/>
            <w:tcMar>
              <w:bottom w:w="0" w:type="dxa"/>
            </w:tcMar>
            <w:vAlign w:val="center"/>
          </w:tcPr>
          <w:p>
            <w:pPr>
              <w:pStyle w:val="TableContents"/>
              <w:bidi w:val="0"/>
              <w:spacing w:before="0" w:after="283"/>
              <w:jc w:val="center"/>
              <w:rPr/>
            </w:pPr>
            <w:r>
              <w:rPr/>
              <w:t>22,243,815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0" w:type="dxa"/>
            <w:tcBorders/>
            <w:shd w:fill="CCEEFF" w:val="clear"/>
            <w:tcMar>
              <w:bottom w:w="0" w:type="dxa"/>
            </w:tcMar>
            <w:vAlign w:val="center"/>
          </w:tcPr>
          <w:p>
            <w:pPr>
              <w:pStyle w:val="TableContents"/>
              <w:bidi w:val="0"/>
              <w:spacing w:before="0" w:after="283"/>
              <w:jc w:val="center"/>
              <w:rPr/>
            </w:pPr>
            <w:r>
              <w:rPr/>
              <w:t>2,717,251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28,876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10" w:type="dxa"/>
            <w:tcBorders/>
            <w:shd w:fill="CCEEFF" w:val="clear"/>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Approval of an Amendment to the Company’s Amended and Restated 2019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an amendment to the Company’s Amended and Restated 2019 Stock Incentive Plan to increase the total number of shares of common stock, par value $0.012 per share, authorized for issuance under such plan by 3,000,000, to a total of 12,500,000. The votes were as follows:</w:t>
      </w:r>
    </w:p>
    <w:p>
      <w:pPr>
        <w:pStyle w:val="TextBody"/>
        <w:bidi w:val="0"/>
        <w:spacing w:before="0" w:after="0"/>
        <w:ind w:left="0" w:right="0" w:hanging="0"/>
        <w:jc w:val="both"/>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115"/>
        <w:gridCol w:w="60"/>
        <w:gridCol w:w="980"/>
        <w:gridCol w:w="60"/>
        <w:gridCol w:w="815"/>
        <w:gridCol w:w="60"/>
        <w:gridCol w:w="1910"/>
      </w:tblGrid>
      <w:tr>
        <w:trPr/>
        <w:tc>
          <w:tcPr>
            <w:tcW w:w="111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115" w:type="dxa"/>
            <w:tcBorders/>
            <w:shd w:fill="CCEEFF" w:val="clear"/>
            <w:tcMar>
              <w:bottom w:w="0" w:type="dxa"/>
            </w:tcMar>
            <w:vAlign w:val="center"/>
          </w:tcPr>
          <w:p>
            <w:pPr>
              <w:pStyle w:val="TableContents"/>
              <w:bidi w:val="0"/>
              <w:spacing w:before="0" w:after="283"/>
              <w:jc w:val="center"/>
              <w:rPr/>
            </w:pPr>
            <w:r>
              <w:rPr/>
              <w:t>11,336,951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6,080,695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34,223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7,538,073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Approval of the Say-on-Pay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on a non-advisory basis, the compensation of our named executive officers (“say-on-pay vote”). The votes were as follows:</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115"/>
        <w:gridCol w:w="60"/>
        <w:gridCol w:w="980"/>
        <w:gridCol w:w="60"/>
        <w:gridCol w:w="815"/>
        <w:gridCol w:w="60"/>
        <w:gridCol w:w="1910"/>
      </w:tblGrid>
      <w:tr>
        <w:trPr/>
        <w:tc>
          <w:tcPr>
            <w:tcW w:w="111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115" w:type="dxa"/>
            <w:tcBorders/>
            <w:shd w:fill="CCEEFF" w:val="clear"/>
            <w:tcMar>
              <w:bottom w:w="0" w:type="dxa"/>
            </w:tcMar>
            <w:vAlign w:val="center"/>
          </w:tcPr>
          <w:p>
            <w:pPr>
              <w:pStyle w:val="TableContents"/>
              <w:bidi w:val="0"/>
              <w:spacing w:before="0" w:after="283"/>
              <w:jc w:val="center"/>
              <w:rPr/>
            </w:pPr>
            <w:r>
              <w:rPr/>
              <w:t>13,012,163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4,394,427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45,279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7,538,073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 Approval of the Say-on-Pay 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selected every three years as the recommended frequency for future say-on-pay votes. The votes were as follows:</w:t>
      </w:r>
    </w:p>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28" w:type="dxa"/>
          <w:right w:w="0" w:type="dxa"/>
        </w:tblCellMar>
      </w:tblPr>
      <w:tblGrid>
        <w:gridCol w:w="995"/>
        <w:gridCol w:w="60"/>
        <w:gridCol w:w="740"/>
        <w:gridCol w:w="60"/>
        <w:gridCol w:w="11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1 year</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283"/>
              <w:jc w:val="center"/>
              <w:rPr>
                <w:b/>
              </w:rPr>
            </w:pPr>
            <w:r>
              <w:rPr>
                <w:b/>
              </w:rPr>
              <w:t>2 years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12" w:space="0" w:color="000000"/>
            </w:tcBorders>
            <w:vAlign w:val="center"/>
          </w:tcPr>
          <w:p>
            <w:pPr>
              <w:pStyle w:val="TableContents"/>
              <w:bidi w:val="0"/>
              <w:spacing w:before="0" w:after="283"/>
              <w:jc w:val="center"/>
              <w:rPr>
                <w:b/>
              </w:rPr>
            </w:pPr>
            <w:r>
              <w:rPr>
                <w:b/>
              </w:rPr>
              <w:t>3 years</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5,974,499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pPr>
            <w:r>
              <w:rPr/>
              <w:t>13,929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11,377,689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85,752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10" w:type="dxa"/>
            <w:tcBorders/>
            <w:shd w:fill="CCEEFF" w:val="clear"/>
            <w:tcMar>
              <w:bottom w:w="0" w:type="dxa"/>
            </w:tcMar>
            <w:vAlign w:val="center"/>
          </w:tcPr>
          <w:p>
            <w:pPr>
              <w:pStyle w:val="TableContents"/>
              <w:bidi w:val="0"/>
              <w:spacing w:before="0" w:after="283"/>
              <w:jc w:val="center"/>
              <w:rPr/>
            </w:pPr>
            <w:r>
              <w:rPr/>
              <w:t>7,538,073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this result, the Board of Directors of the Company has determined that the Company will hold future say-on-pay votes every three years until the next advisory vote on the frequency of say-on-pay votes, which is required to take place at least once every six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No. 6 -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approve the adjournment of the Annual Meeting, if necessary or appropriate, to solicit additional proxies if there are insufficient votes to approve the Proposals 1 through 5 at the time of the Annual Meeting, was rendered moot as there were sufficient votes to approve the Proposals 1 through 5 at the time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869"/>
        <w:gridCol w:w="249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ORAMED PHARMACEUTICALS INC.</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By:</w:t>
            </w:r>
          </w:p>
        </w:tc>
        <w:tc>
          <w:tcPr>
            <w:tcW w:w="24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Nadav Kidron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Name:</w:t>
            </w:r>
          </w:p>
        </w:tc>
        <w:tc>
          <w:tcPr>
            <w:tcW w:w="2495" w:type="dxa"/>
            <w:tcBorders/>
            <w:vAlign w:val="center"/>
          </w:tcPr>
          <w:p>
            <w:pPr>
              <w:pStyle w:val="TableContents"/>
              <w:bidi w:val="0"/>
              <w:spacing w:before="0" w:after="283"/>
              <w:jc w:val="left"/>
              <w:rPr>
                <w:sz w:val="20"/>
              </w:rPr>
            </w:pPr>
            <w:r>
              <w:rPr>
                <w:sz w:val="20"/>
              </w:rPr>
              <w:t>Nadav Kidron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Title:</w:t>
            </w:r>
          </w:p>
        </w:tc>
        <w:tc>
          <w:tcPr>
            <w:tcW w:w="2495" w:type="dxa"/>
            <w:tcBorders/>
            <w:vAlign w:val="center"/>
          </w:tcPr>
          <w:p>
            <w:pPr>
              <w:pStyle w:val="TableContents"/>
              <w:bidi w:val="0"/>
              <w:spacing w:before="0" w:after="283"/>
              <w:jc w:val="left"/>
              <w:rPr>
                <w:sz w:val="20"/>
              </w:rPr>
            </w:pPr>
            <w:r>
              <w:rPr>
                <w:sz w:val="20"/>
              </w:rPr>
              <w:t>President and CEO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4543</Characters>
  <CharactersWithSpaces>5399</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