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Hexter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MAMILLA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9414904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COO &amp; CBO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751,333</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48,500</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799,833</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33,334</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833,167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issued on settlement of performance stock units ("PSUs") previously granted on January 4, 2024 that vested on February 11, 2025 based on the achievement of the applicable performance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issued on settlement of PSUs previously granted on January 2, 2025 that vested on February 11, 2025 based on the achievement of the applicable performance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issued on settlement of PSUs previously granted on February 3, 2025 that vested on February 11, 2025 based on the achievement of the applicable performance criteria.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Hexter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235"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3605</Characters>
  <CharactersWithSpaces>4198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