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Kidron Miriam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36" w:lineRule="auto"/>
        <w:rPr>
          <w:sz w:val="20"/>
          <w:szCs w:val="20"/>
          <w:color w:val="auto"/>
        </w:rPr>
      </w:pPr>
      <w:r>
        <w:rPr>
          <w:rFonts w:ascii="Times New Roman" w:cs="Times New Roman" w:eastAsia="Times New Roman" w:hAnsi="Times New Roman"/>
          <w:sz w:val="17"/>
          <w:szCs w:val="17"/>
          <w:color w:val="0000FF"/>
        </w:rPr>
        <w:t>1185 AVENUE OF THE AMERICAS THIRD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ORAMED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ORMP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32"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435,084</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1,133,138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$0.012 per share ("Common Stock"), of the Issuer used to satisfy tax withholding obligations attributable to the vesting and settlement of Restricted Stock Units, which were valued at the closing price of the Issuer's Common Stock on the date immediately prior to the vesting date, equal to $3.31 per share.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Miriam Kidron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03/31/2026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232" TargetMode="External"/><Relationship Id="rId14" Type="http://schemas.openxmlformats.org/officeDocument/2006/relationships/hyperlink" Target="http://www.sec.gov/cgi-bin/browse-edgar?action=getcompany&amp;CIK=0001176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2026-03-31T15:25:29Z</dcterms:created>
  <dcterms:modified xsi:type="dcterms:W3CDTF">2026-03-31T15:25:29Z</dcterms:modified>
</cp:coreProperties>
</file>